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EA818" w14:textId="605FAA5E" w:rsidR="006B5AB2" w:rsidRPr="002E7C50" w:rsidRDefault="006B5AB2" w:rsidP="00DF2A9B">
      <w:pPr>
        <w:pStyle w:val="Duidelijkcitaat"/>
        <w:rPr>
          <w:rStyle w:val="Intensieveverwijzing"/>
          <w:rFonts w:ascii="Arial" w:hAnsi="Arial" w:cs="Arial"/>
          <w:sz w:val="28"/>
          <w:lang w:val="en-GB"/>
        </w:rPr>
      </w:pPr>
      <w:r w:rsidRPr="002E7C50">
        <w:rPr>
          <w:rStyle w:val="Intensieveverwijzing"/>
          <w:rFonts w:ascii="Arial" w:hAnsi="Arial" w:cs="Arial"/>
          <w:sz w:val="28"/>
          <w:lang w:val="en-GB"/>
        </w:rPr>
        <w:t xml:space="preserve">Process Document </w:t>
      </w:r>
    </w:p>
    <w:p w14:paraId="7D834761" w14:textId="77777777" w:rsidR="006B5AB2" w:rsidRPr="002E7C50" w:rsidRDefault="006B5AB2" w:rsidP="00DF2A9B">
      <w:pPr>
        <w:pStyle w:val="Duidelijkcitaat"/>
        <w:rPr>
          <w:rStyle w:val="Intensieveverwijzing"/>
          <w:rFonts w:ascii="Arial" w:hAnsi="Arial" w:cs="Arial"/>
          <w:sz w:val="28"/>
          <w:lang w:val="en-GB"/>
        </w:rPr>
      </w:pPr>
      <w:r w:rsidRPr="002E7C50">
        <w:rPr>
          <w:rStyle w:val="Intensieveverwijzing"/>
          <w:rFonts w:ascii="Arial" w:hAnsi="Arial" w:cs="Arial"/>
          <w:sz w:val="28"/>
          <w:lang w:val="en-GB"/>
        </w:rPr>
        <w:t>IPCEI Hydrogen – Match-making Procedure</w:t>
      </w:r>
    </w:p>
    <w:p w14:paraId="305649F4" w14:textId="77777777" w:rsidR="006B5AB2" w:rsidRDefault="006B5AB2" w:rsidP="006B5AB2">
      <w:pPr>
        <w:spacing w:after="0"/>
        <w:jc w:val="center"/>
        <w:rPr>
          <w:rFonts w:ascii="Arial" w:hAnsi="Arial" w:cs="Arial"/>
          <w:b/>
          <w:u w:val="single"/>
          <w:lang w:val="en-GB"/>
        </w:rPr>
      </w:pPr>
    </w:p>
    <w:p w14:paraId="795FD6E6" w14:textId="77777777" w:rsidR="006B5AB2" w:rsidRDefault="006B5AB2" w:rsidP="006B5AB2">
      <w:pPr>
        <w:spacing w:after="0"/>
        <w:jc w:val="center"/>
        <w:rPr>
          <w:rFonts w:ascii="Arial" w:hAnsi="Arial" w:cs="Arial"/>
          <w:b/>
          <w:u w:val="single"/>
          <w:lang w:val="en-GB"/>
        </w:rPr>
      </w:pPr>
    </w:p>
    <w:p w14:paraId="3F82B776" w14:textId="6B0C338C" w:rsidR="006B5AB2" w:rsidRPr="002912F2" w:rsidRDefault="006B03FF" w:rsidP="006B03FF">
      <w:pPr>
        <w:pStyle w:val="Kop1"/>
        <w:rPr>
          <w:lang w:val="en-NZ"/>
        </w:rPr>
      </w:pPr>
      <w:r w:rsidRPr="00E00EB2">
        <w:rPr>
          <w:lang w:val="en-NZ"/>
        </w:rPr>
        <w:t xml:space="preserve">Background and </w:t>
      </w:r>
      <w:r w:rsidR="00B72191">
        <w:rPr>
          <w:lang w:val="en-NZ"/>
        </w:rPr>
        <w:t>Objectives of Match-Making</w:t>
      </w:r>
      <w:r w:rsidR="00BF67C6">
        <w:rPr>
          <w:lang w:val="en-NZ"/>
        </w:rPr>
        <w:t xml:space="preserve"> Procedure</w:t>
      </w:r>
    </w:p>
    <w:p w14:paraId="0C843995" w14:textId="77777777" w:rsidR="006E7EE4" w:rsidRDefault="006E7EE4" w:rsidP="006E7EE4">
      <w:pPr>
        <w:spacing w:after="0"/>
        <w:jc w:val="both"/>
        <w:rPr>
          <w:rFonts w:ascii="Arial" w:hAnsi="Arial" w:cs="Arial"/>
          <w:lang w:val="en-GB"/>
        </w:rPr>
      </w:pPr>
    </w:p>
    <w:p w14:paraId="230B9460" w14:textId="7184E0FB" w:rsidR="006B03FF" w:rsidRDefault="006B03FF" w:rsidP="006B03FF">
      <w:pPr>
        <w:spacing w:after="0"/>
        <w:jc w:val="both"/>
        <w:rPr>
          <w:rFonts w:ascii="Arial" w:hAnsi="Arial" w:cs="Arial"/>
          <w:lang w:val="en-GB"/>
        </w:rPr>
      </w:pPr>
      <w:r w:rsidRPr="005A5A34">
        <w:rPr>
          <w:rFonts w:ascii="Arial" w:hAnsi="Arial" w:cs="Arial"/>
          <w:lang w:val="en-GB"/>
        </w:rPr>
        <w:t>The IPCEI Hydrogen was launched by 22 EU Member States and Norway based on a common understanding stipulated in a joint manifesto on December 17</w:t>
      </w:r>
      <w:r w:rsidRPr="005A5A34">
        <w:rPr>
          <w:rFonts w:ascii="Arial" w:hAnsi="Arial" w:cs="Arial"/>
          <w:vertAlign w:val="superscript"/>
          <w:lang w:val="en-GB"/>
        </w:rPr>
        <w:t>th</w:t>
      </w:r>
      <w:r w:rsidR="00094BCF">
        <w:rPr>
          <w:rFonts w:ascii="Arial" w:hAnsi="Arial" w:cs="Arial"/>
          <w:lang w:val="en-GB"/>
        </w:rPr>
        <w:t xml:space="preserve">, </w:t>
      </w:r>
      <w:r w:rsidRPr="005A5A34">
        <w:rPr>
          <w:rFonts w:ascii="Arial" w:hAnsi="Arial" w:cs="Arial"/>
          <w:lang w:val="en-GB"/>
        </w:rPr>
        <w:t xml:space="preserve">2020. Each participating Member State conducted a national call of interest according to </w:t>
      </w:r>
      <w:r w:rsidR="00FB29EC">
        <w:rPr>
          <w:rFonts w:ascii="Arial" w:hAnsi="Arial" w:cs="Arial"/>
          <w:lang w:val="en-GB"/>
        </w:rPr>
        <w:t>its</w:t>
      </w:r>
      <w:r w:rsidRPr="005A5A34">
        <w:rPr>
          <w:rFonts w:ascii="Arial" w:hAnsi="Arial" w:cs="Arial"/>
          <w:lang w:val="en-GB"/>
        </w:rPr>
        <w:t xml:space="preserve"> own legal procedures, </w:t>
      </w:r>
      <w:r>
        <w:rPr>
          <w:rFonts w:ascii="Arial" w:hAnsi="Arial" w:cs="Arial"/>
          <w:lang w:val="en-GB"/>
        </w:rPr>
        <w:t xml:space="preserve">budgetary and </w:t>
      </w:r>
      <w:r w:rsidRPr="005A5A34">
        <w:rPr>
          <w:rFonts w:ascii="Arial" w:hAnsi="Arial" w:cs="Arial"/>
          <w:lang w:val="en-GB"/>
        </w:rPr>
        <w:t xml:space="preserve">political priorities </w:t>
      </w:r>
      <w:r w:rsidR="002B3F01">
        <w:rPr>
          <w:rFonts w:ascii="Arial" w:hAnsi="Arial" w:cs="Arial"/>
          <w:lang w:val="en-GB"/>
        </w:rPr>
        <w:t>and time</w:t>
      </w:r>
      <w:r w:rsidRPr="005A5A34">
        <w:rPr>
          <w:rFonts w:ascii="Arial" w:hAnsi="Arial" w:cs="Arial"/>
          <w:lang w:val="en-GB"/>
        </w:rPr>
        <w:t>line. The next ste</w:t>
      </w:r>
      <w:r w:rsidR="002912F2">
        <w:rPr>
          <w:rFonts w:ascii="Arial" w:hAnsi="Arial" w:cs="Arial"/>
          <w:lang w:val="en-GB"/>
        </w:rPr>
        <w:t>p in the process is a European m</w:t>
      </w:r>
      <w:r w:rsidRPr="005A5A34">
        <w:rPr>
          <w:rFonts w:ascii="Arial" w:hAnsi="Arial" w:cs="Arial"/>
          <w:lang w:val="en-GB"/>
        </w:rPr>
        <w:t xml:space="preserve">atch-making procedure in which the projects are connected with each other to form an IPCEI. The </w:t>
      </w:r>
      <w:r w:rsidR="0054143F">
        <w:rPr>
          <w:rFonts w:ascii="Arial" w:hAnsi="Arial" w:cs="Arial"/>
          <w:lang w:val="en-GB"/>
        </w:rPr>
        <w:t xml:space="preserve">overall </w:t>
      </w:r>
      <w:r w:rsidRPr="005A5A34">
        <w:rPr>
          <w:rFonts w:ascii="Arial" w:hAnsi="Arial" w:cs="Arial"/>
          <w:lang w:val="en-GB"/>
        </w:rPr>
        <w:t>objectives of the match-making procedure are to aggregate projects into value chains, to identify and complete the missing links between projects, to formulate</w:t>
      </w:r>
      <w:r w:rsidR="00386720">
        <w:rPr>
          <w:rFonts w:ascii="Arial" w:hAnsi="Arial" w:cs="Arial"/>
          <w:lang w:val="en-GB"/>
        </w:rPr>
        <w:t xml:space="preserve"> concrete</w:t>
      </w:r>
      <w:r w:rsidRPr="005A5A34">
        <w:rPr>
          <w:rFonts w:ascii="Arial" w:hAnsi="Arial" w:cs="Arial"/>
          <w:lang w:val="en-GB"/>
        </w:rPr>
        <w:t xml:space="preserve"> targets and contributions and to connect companies according to their preferences.</w:t>
      </w:r>
      <w:r>
        <w:rPr>
          <w:rFonts w:ascii="Arial" w:hAnsi="Arial" w:cs="Arial"/>
          <w:lang w:val="en-GB"/>
        </w:rPr>
        <w:t xml:space="preserve"> </w:t>
      </w:r>
      <w:r w:rsidR="00B72191">
        <w:rPr>
          <w:rFonts w:ascii="Arial" w:hAnsi="Arial" w:cs="Arial"/>
          <w:lang w:val="en-GB"/>
        </w:rPr>
        <w:t>Concretely, the match</w:t>
      </w:r>
      <w:r w:rsidR="00880B25">
        <w:rPr>
          <w:rFonts w:ascii="Arial" w:hAnsi="Arial" w:cs="Arial"/>
          <w:lang w:val="en-GB"/>
        </w:rPr>
        <w:t>-making serves the dual purpose</w:t>
      </w:r>
      <w:r w:rsidR="00B72191">
        <w:rPr>
          <w:rFonts w:ascii="Arial" w:hAnsi="Arial" w:cs="Arial"/>
          <w:lang w:val="en-GB"/>
        </w:rPr>
        <w:t xml:space="preserve"> of filtering projects for the IPCEI ‘waves’ of notification while simultaneously enabling companies to exchange and </w:t>
      </w:r>
      <w:r w:rsidR="00880B25">
        <w:rPr>
          <w:rFonts w:ascii="Arial" w:hAnsi="Arial" w:cs="Arial"/>
          <w:lang w:val="en-GB"/>
        </w:rPr>
        <w:t>cooperate</w:t>
      </w:r>
      <w:r w:rsidR="00B72191">
        <w:rPr>
          <w:rFonts w:ascii="Arial" w:hAnsi="Arial" w:cs="Arial"/>
          <w:lang w:val="en-GB"/>
        </w:rPr>
        <w:t xml:space="preserve"> in order to strengthen project concepts which are still in the planning stage. </w:t>
      </w:r>
      <w:r w:rsidR="00102AF7">
        <w:rPr>
          <w:rFonts w:ascii="Arial" w:hAnsi="Arial" w:cs="Arial"/>
          <w:lang w:val="en-GB"/>
        </w:rPr>
        <w:t>The size</w:t>
      </w:r>
      <w:r w:rsidRPr="005A3548">
        <w:rPr>
          <w:rFonts w:ascii="Arial" w:hAnsi="Arial" w:cs="Arial"/>
          <w:lang w:val="en-GB"/>
        </w:rPr>
        <w:t xml:space="preserve"> and complexity of the IPCEI Hydrogen make the s</w:t>
      </w:r>
      <w:r w:rsidR="002B3F01">
        <w:rPr>
          <w:rFonts w:ascii="Arial" w:hAnsi="Arial" w:cs="Arial"/>
          <w:lang w:val="en-GB"/>
        </w:rPr>
        <w:t>ynchronisation of national time</w:t>
      </w:r>
      <w:r w:rsidRPr="005A3548">
        <w:rPr>
          <w:rFonts w:ascii="Arial" w:hAnsi="Arial" w:cs="Arial"/>
          <w:lang w:val="en-GB"/>
        </w:rPr>
        <w:t xml:space="preserve">lines and political priorities highly challenging. </w:t>
      </w:r>
      <w:r w:rsidR="00AB68A7">
        <w:rPr>
          <w:rFonts w:ascii="Arial" w:hAnsi="Arial" w:cs="Arial"/>
          <w:lang w:val="en-GB"/>
        </w:rPr>
        <w:t>Participating</w:t>
      </w:r>
      <w:r w:rsidRPr="005A3548">
        <w:rPr>
          <w:rFonts w:ascii="Arial" w:hAnsi="Arial" w:cs="Arial"/>
          <w:lang w:val="en-GB"/>
        </w:rPr>
        <w:t xml:space="preserve"> states therefore adopt a pragmatic and consensual approach in mut</w:t>
      </w:r>
      <w:r w:rsidR="002912F2">
        <w:rPr>
          <w:rFonts w:ascii="Arial" w:hAnsi="Arial" w:cs="Arial"/>
          <w:lang w:val="en-GB"/>
        </w:rPr>
        <w:t xml:space="preserve">ual decision-making, which is described in the following. </w:t>
      </w:r>
    </w:p>
    <w:p w14:paraId="69B5170B" w14:textId="79E9D1F1" w:rsidR="006B03FF" w:rsidRDefault="006B03FF" w:rsidP="006B5AB2">
      <w:pPr>
        <w:spacing w:after="0"/>
        <w:jc w:val="both"/>
        <w:rPr>
          <w:rFonts w:ascii="Arial" w:hAnsi="Arial" w:cs="Arial"/>
          <w:b/>
          <w:u w:val="single"/>
          <w:lang w:val="en-GB"/>
        </w:rPr>
      </w:pPr>
    </w:p>
    <w:p w14:paraId="2FD25CE1" w14:textId="506120A9" w:rsidR="005A5A34" w:rsidRDefault="005A5A34" w:rsidP="005A5A34">
      <w:pPr>
        <w:pStyle w:val="Kop1"/>
        <w:rPr>
          <w:lang w:val="en-GB"/>
        </w:rPr>
      </w:pPr>
      <w:r>
        <w:rPr>
          <w:lang w:val="en-GB"/>
        </w:rPr>
        <w:t xml:space="preserve">Involved </w:t>
      </w:r>
      <w:r w:rsidR="00B72191">
        <w:rPr>
          <w:lang w:val="en-GB"/>
        </w:rPr>
        <w:t>Actors</w:t>
      </w:r>
      <w:r w:rsidR="00BF67C6">
        <w:rPr>
          <w:lang w:val="en-GB"/>
        </w:rPr>
        <w:t>,</w:t>
      </w:r>
      <w:r w:rsidR="00B72191">
        <w:rPr>
          <w:lang w:val="en-GB"/>
        </w:rPr>
        <w:t xml:space="preserve"> Responsibilities</w:t>
      </w:r>
      <w:r w:rsidR="00BF67C6">
        <w:rPr>
          <w:lang w:val="en-GB"/>
        </w:rPr>
        <w:t xml:space="preserve"> and Decision-Making</w:t>
      </w:r>
    </w:p>
    <w:p w14:paraId="76FB41C2" w14:textId="41B71742" w:rsidR="005A5A34" w:rsidRDefault="005A5A34" w:rsidP="006B5AB2">
      <w:pPr>
        <w:spacing w:after="0"/>
        <w:jc w:val="both"/>
        <w:rPr>
          <w:rFonts w:ascii="Arial" w:hAnsi="Arial" w:cs="Arial"/>
          <w:b/>
          <w:u w:val="single"/>
          <w:lang w:val="en-GB"/>
        </w:rPr>
      </w:pPr>
    </w:p>
    <w:p w14:paraId="05579880" w14:textId="77777777" w:rsidR="006B03FF" w:rsidRPr="005A3548" w:rsidRDefault="006B03FF" w:rsidP="006B03FF">
      <w:pPr>
        <w:pStyle w:val="Lijstalinea"/>
        <w:numPr>
          <w:ilvl w:val="0"/>
          <w:numId w:val="8"/>
        </w:numPr>
        <w:spacing w:after="0"/>
        <w:jc w:val="both"/>
        <w:rPr>
          <w:rFonts w:ascii="Arial" w:hAnsi="Arial" w:cs="Arial"/>
          <w:b/>
          <w:u w:val="single"/>
          <w:lang w:val="en-GB"/>
        </w:rPr>
      </w:pPr>
      <w:r w:rsidRPr="005A3548">
        <w:rPr>
          <w:rFonts w:ascii="Arial" w:hAnsi="Arial" w:cs="Arial"/>
          <w:lang w:val="en-GB"/>
        </w:rPr>
        <w:t>One Member State coordinates the match-making procedure. Germany has agreed to perform the role of Coordinator for at least one IPCEI Hydrogen.</w:t>
      </w:r>
    </w:p>
    <w:p w14:paraId="33E45F26" w14:textId="77777777" w:rsidR="006B03FF" w:rsidRPr="006B03FF" w:rsidRDefault="006B03FF" w:rsidP="006B03FF">
      <w:pPr>
        <w:pStyle w:val="Lijstalinea"/>
        <w:spacing w:after="0"/>
        <w:ind w:left="1636"/>
        <w:jc w:val="both"/>
        <w:rPr>
          <w:rFonts w:ascii="Arial" w:hAnsi="Arial" w:cs="Arial"/>
          <w:b/>
          <w:u w:val="single"/>
          <w:lang w:val="en-GB"/>
        </w:rPr>
      </w:pPr>
    </w:p>
    <w:p w14:paraId="2B4DAB81" w14:textId="2B04020D" w:rsidR="005A5A34" w:rsidRPr="00F94104" w:rsidRDefault="005A5A34" w:rsidP="002E7C50">
      <w:pPr>
        <w:pStyle w:val="Lijstalinea"/>
        <w:numPr>
          <w:ilvl w:val="0"/>
          <w:numId w:val="8"/>
        </w:numPr>
        <w:spacing w:after="0"/>
        <w:jc w:val="both"/>
        <w:rPr>
          <w:rFonts w:ascii="Arial" w:hAnsi="Arial" w:cs="Arial"/>
          <w:lang w:val="en-GB"/>
        </w:rPr>
      </w:pPr>
      <w:r w:rsidRPr="00F94104">
        <w:rPr>
          <w:rFonts w:ascii="Arial" w:hAnsi="Arial" w:cs="Arial"/>
          <w:lang w:val="en-GB"/>
        </w:rPr>
        <w:t xml:space="preserve">The central </w:t>
      </w:r>
      <w:r w:rsidR="00B44BBF" w:rsidRPr="00F94104">
        <w:rPr>
          <w:rFonts w:ascii="Arial" w:hAnsi="Arial" w:cs="Arial"/>
          <w:lang w:val="en-GB"/>
        </w:rPr>
        <w:t>operational</w:t>
      </w:r>
      <w:r w:rsidRPr="00F94104">
        <w:rPr>
          <w:rFonts w:ascii="Arial" w:hAnsi="Arial" w:cs="Arial"/>
          <w:lang w:val="en-GB"/>
        </w:rPr>
        <w:t xml:space="preserve"> body of the IPCEI process is the Task Force consisting of the Coordinator and representatives from the</w:t>
      </w:r>
      <w:r w:rsidR="00670D3C" w:rsidRPr="00F94104">
        <w:rPr>
          <w:rFonts w:ascii="Arial" w:hAnsi="Arial" w:cs="Arial"/>
          <w:lang w:val="en-GB"/>
        </w:rPr>
        <w:t xml:space="preserve"> states</w:t>
      </w:r>
      <w:r w:rsidRPr="00F94104">
        <w:rPr>
          <w:rFonts w:ascii="Arial" w:hAnsi="Arial" w:cs="Arial"/>
          <w:lang w:val="en-GB"/>
        </w:rPr>
        <w:t xml:space="preserve"> </w:t>
      </w:r>
      <w:r w:rsidR="00DC457E" w:rsidRPr="00F94104">
        <w:rPr>
          <w:rFonts w:ascii="Arial" w:hAnsi="Arial" w:cs="Arial"/>
          <w:lang w:val="en-GB"/>
        </w:rPr>
        <w:t xml:space="preserve">participating </w:t>
      </w:r>
      <w:r w:rsidR="00670D3C" w:rsidRPr="00F94104">
        <w:rPr>
          <w:rFonts w:ascii="Arial" w:hAnsi="Arial" w:cs="Arial"/>
          <w:lang w:val="en-GB"/>
        </w:rPr>
        <w:t>in the IPCEI process</w:t>
      </w:r>
      <w:r w:rsidRPr="00F94104">
        <w:rPr>
          <w:rFonts w:ascii="Arial" w:hAnsi="Arial" w:cs="Arial"/>
          <w:lang w:val="en-GB"/>
        </w:rPr>
        <w:t>.</w:t>
      </w:r>
      <w:r w:rsidR="00B44BBF" w:rsidRPr="00F94104">
        <w:rPr>
          <w:rFonts w:ascii="Arial" w:hAnsi="Arial" w:cs="Arial"/>
          <w:lang w:val="en-GB"/>
        </w:rPr>
        <w:t xml:space="preserve"> The Task Force prepares </w:t>
      </w:r>
      <w:r w:rsidR="00880B25" w:rsidRPr="00F94104">
        <w:rPr>
          <w:rFonts w:ascii="Arial" w:hAnsi="Arial" w:cs="Arial"/>
          <w:lang w:val="en-GB"/>
        </w:rPr>
        <w:t xml:space="preserve">proposals </w:t>
      </w:r>
      <w:r w:rsidR="00B44BBF" w:rsidRPr="00F94104">
        <w:rPr>
          <w:rFonts w:ascii="Arial" w:hAnsi="Arial" w:cs="Arial"/>
          <w:lang w:val="en-GB"/>
        </w:rPr>
        <w:t>on</w:t>
      </w:r>
      <w:r w:rsidR="00880B25" w:rsidRPr="00F94104">
        <w:rPr>
          <w:rFonts w:ascii="Arial" w:hAnsi="Arial" w:cs="Arial"/>
          <w:lang w:val="en-GB"/>
        </w:rPr>
        <w:t xml:space="preserve"> content and structure of IPCEIs.</w:t>
      </w:r>
      <w:r w:rsidR="00B44BBF" w:rsidRPr="00F94104">
        <w:rPr>
          <w:rFonts w:ascii="Arial" w:hAnsi="Arial" w:cs="Arial"/>
          <w:lang w:val="en-GB"/>
        </w:rPr>
        <w:t xml:space="preserve"> </w:t>
      </w:r>
      <w:r w:rsidR="00BF67C6" w:rsidRPr="00F94104">
        <w:rPr>
          <w:rFonts w:ascii="Arial" w:hAnsi="Arial" w:cs="Arial"/>
          <w:lang w:val="en-GB"/>
        </w:rPr>
        <w:t>Task Force proposals are distributed to</w:t>
      </w:r>
      <w:r w:rsidR="00670D3C" w:rsidRPr="00F94104">
        <w:rPr>
          <w:rFonts w:ascii="Arial" w:hAnsi="Arial" w:cs="Arial"/>
          <w:lang w:val="en-GB"/>
        </w:rPr>
        <w:t xml:space="preserve"> all states</w:t>
      </w:r>
      <w:r w:rsidR="00BF67C6" w:rsidRPr="00F94104">
        <w:rPr>
          <w:rFonts w:ascii="Arial" w:hAnsi="Arial" w:cs="Arial"/>
          <w:lang w:val="en-GB"/>
        </w:rPr>
        <w:t xml:space="preserve"> participating </w:t>
      </w:r>
      <w:r w:rsidR="00670D3C" w:rsidRPr="00F94104">
        <w:rPr>
          <w:rFonts w:ascii="Arial" w:hAnsi="Arial" w:cs="Arial"/>
          <w:lang w:val="en-GB"/>
        </w:rPr>
        <w:t xml:space="preserve">in the IPCEI process </w:t>
      </w:r>
      <w:r w:rsidR="00BF67C6" w:rsidRPr="00F94104">
        <w:rPr>
          <w:rFonts w:ascii="Arial" w:hAnsi="Arial" w:cs="Arial"/>
          <w:lang w:val="en-GB"/>
        </w:rPr>
        <w:t xml:space="preserve">in a timely manner before </w:t>
      </w:r>
      <w:r w:rsidR="006009D8" w:rsidRPr="00F94104">
        <w:rPr>
          <w:rFonts w:ascii="Arial" w:hAnsi="Arial" w:cs="Arial"/>
          <w:lang w:val="en-GB"/>
        </w:rPr>
        <w:t xml:space="preserve">joint meetings. </w:t>
      </w:r>
      <w:r w:rsidR="00953F89" w:rsidRPr="00F94104">
        <w:rPr>
          <w:rFonts w:ascii="Arial" w:hAnsi="Arial" w:cs="Arial"/>
          <w:lang w:val="en-GB"/>
        </w:rPr>
        <w:t xml:space="preserve">The states </w:t>
      </w:r>
      <w:r w:rsidR="006009D8" w:rsidRPr="00F94104">
        <w:rPr>
          <w:rFonts w:ascii="Arial" w:hAnsi="Arial" w:cs="Arial"/>
          <w:lang w:val="en-GB"/>
        </w:rPr>
        <w:t xml:space="preserve">discuss the proposals and </w:t>
      </w:r>
      <w:r w:rsidR="00953F89" w:rsidRPr="00F94104">
        <w:rPr>
          <w:rFonts w:ascii="Arial" w:hAnsi="Arial" w:cs="Arial"/>
          <w:lang w:val="en-GB"/>
        </w:rPr>
        <w:t>approve or reject based on consensus</w:t>
      </w:r>
      <w:r w:rsidR="00880B25" w:rsidRPr="00F94104">
        <w:rPr>
          <w:rFonts w:ascii="Arial" w:hAnsi="Arial" w:cs="Arial"/>
          <w:lang w:val="en-GB"/>
        </w:rPr>
        <w:t xml:space="preserve"> during meetings</w:t>
      </w:r>
      <w:r w:rsidR="00670D3C" w:rsidRPr="00F94104">
        <w:rPr>
          <w:rFonts w:ascii="Arial" w:hAnsi="Arial" w:cs="Arial"/>
          <w:lang w:val="en-GB"/>
        </w:rPr>
        <w:t xml:space="preserve"> for all states participating in </w:t>
      </w:r>
      <w:r w:rsidR="00840414">
        <w:rPr>
          <w:rFonts w:ascii="Arial" w:hAnsi="Arial" w:cs="Arial"/>
          <w:lang w:val="en-GB"/>
        </w:rPr>
        <w:t xml:space="preserve">the </w:t>
      </w:r>
      <w:r w:rsidR="00670D3C" w:rsidRPr="00F94104">
        <w:rPr>
          <w:rFonts w:ascii="Arial" w:hAnsi="Arial" w:cs="Arial"/>
          <w:lang w:val="en-GB"/>
        </w:rPr>
        <w:t>IPCEI process</w:t>
      </w:r>
      <w:r w:rsidR="00953F89" w:rsidRPr="00F94104">
        <w:rPr>
          <w:rFonts w:ascii="Arial" w:hAnsi="Arial" w:cs="Arial"/>
          <w:lang w:val="en-GB"/>
        </w:rPr>
        <w:t xml:space="preserve">. When consensus </w:t>
      </w:r>
      <w:r w:rsidR="006009D8" w:rsidRPr="00F94104">
        <w:rPr>
          <w:rFonts w:ascii="Arial" w:hAnsi="Arial" w:cs="Arial"/>
          <w:lang w:val="en-GB"/>
        </w:rPr>
        <w:t>is not</w:t>
      </w:r>
      <w:r w:rsidR="00953F89" w:rsidRPr="00F94104">
        <w:rPr>
          <w:rFonts w:ascii="Arial" w:hAnsi="Arial" w:cs="Arial"/>
          <w:lang w:val="en-GB"/>
        </w:rPr>
        <w:t xml:space="preserve"> reached, the Task Force attempts to resolve the dispute with the dissenting state(s) in a bi- or multilateral setting under mediation by the European Commission. If consensus is</w:t>
      </w:r>
      <w:r w:rsidR="006009D8" w:rsidRPr="00F94104">
        <w:rPr>
          <w:rFonts w:ascii="Arial" w:hAnsi="Arial" w:cs="Arial"/>
          <w:lang w:val="en-GB"/>
        </w:rPr>
        <w:t xml:space="preserve"> still not</w:t>
      </w:r>
      <w:r w:rsidR="00953F89" w:rsidRPr="00F94104">
        <w:rPr>
          <w:rFonts w:ascii="Arial" w:hAnsi="Arial" w:cs="Arial"/>
          <w:lang w:val="en-GB"/>
        </w:rPr>
        <w:t xml:space="preserve"> reached, the Task Force has to withdraw and revise its proposal.</w:t>
      </w:r>
    </w:p>
    <w:p w14:paraId="31ED1AC0" w14:textId="77777777" w:rsidR="00953F89" w:rsidRPr="00A35113" w:rsidRDefault="00953F89" w:rsidP="00A35113">
      <w:pPr>
        <w:pStyle w:val="Lijstalinea"/>
        <w:spacing w:after="0"/>
        <w:ind w:left="1636"/>
        <w:jc w:val="both"/>
        <w:rPr>
          <w:rFonts w:ascii="Arial" w:hAnsi="Arial" w:cs="Arial"/>
          <w:b/>
          <w:u w:val="single"/>
          <w:lang w:val="en-GB"/>
        </w:rPr>
      </w:pPr>
    </w:p>
    <w:p w14:paraId="161D7179" w14:textId="75CCF896" w:rsidR="00BF67C6" w:rsidRPr="00A35113" w:rsidRDefault="00953F89" w:rsidP="004915E2">
      <w:pPr>
        <w:pStyle w:val="Lijstalinea"/>
        <w:numPr>
          <w:ilvl w:val="0"/>
          <w:numId w:val="8"/>
        </w:numPr>
        <w:spacing w:after="0"/>
        <w:jc w:val="both"/>
        <w:rPr>
          <w:rFonts w:ascii="Arial" w:hAnsi="Arial" w:cs="Arial"/>
          <w:lang w:val="en-GB"/>
        </w:rPr>
      </w:pPr>
      <w:r w:rsidRPr="00A35113">
        <w:rPr>
          <w:rFonts w:ascii="Arial" w:hAnsi="Arial" w:cs="Arial"/>
          <w:lang w:val="en-GB"/>
        </w:rPr>
        <w:t>In order</w:t>
      </w:r>
      <w:r w:rsidR="00BF67C6">
        <w:rPr>
          <w:rFonts w:ascii="Arial" w:hAnsi="Arial" w:cs="Arial"/>
          <w:lang w:val="en-GB"/>
        </w:rPr>
        <w:t xml:space="preserve"> to maintain operability and ensure a streamlined decision-making process, the Task Force should </w:t>
      </w:r>
      <w:r w:rsidR="00670D3C" w:rsidRPr="001E4DFE">
        <w:rPr>
          <w:rFonts w:ascii="Arial" w:hAnsi="Arial" w:cs="Arial"/>
          <w:lang w:val="en-GB"/>
        </w:rPr>
        <w:t>preferably</w:t>
      </w:r>
      <w:r w:rsidR="00670D3C">
        <w:rPr>
          <w:rFonts w:ascii="Arial" w:hAnsi="Arial" w:cs="Arial"/>
          <w:lang w:val="en-GB"/>
        </w:rPr>
        <w:t xml:space="preserve"> </w:t>
      </w:r>
      <w:r w:rsidR="00BF67C6">
        <w:rPr>
          <w:rFonts w:ascii="Arial" w:hAnsi="Arial" w:cs="Arial"/>
          <w:lang w:val="en-GB"/>
        </w:rPr>
        <w:t>have a limited number of participants. Generally,</w:t>
      </w:r>
      <w:r w:rsidR="00ED5193">
        <w:rPr>
          <w:rFonts w:ascii="Arial" w:hAnsi="Arial" w:cs="Arial"/>
          <w:lang w:val="en-GB"/>
        </w:rPr>
        <w:t xml:space="preserve"> </w:t>
      </w:r>
      <w:r w:rsidR="00ED5193" w:rsidRPr="001E4DFE">
        <w:rPr>
          <w:rFonts w:ascii="Arial" w:hAnsi="Arial" w:cs="Arial"/>
          <w:lang w:val="en-GB"/>
        </w:rPr>
        <w:t>however,</w:t>
      </w:r>
      <w:r w:rsidR="00ED5193">
        <w:rPr>
          <w:rFonts w:ascii="Arial" w:hAnsi="Arial" w:cs="Arial"/>
          <w:lang w:val="en-GB"/>
        </w:rPr>
        <w:t xml:space="preserve"> </w:t>
      </w:r>
      <w:r w:rsidR="006009D8">
        <w:rPr>
          <w:rFonts w:ascii="Arial" w:hAnsi="Arial" w:cs="Arial"/>
          <w:lang w:val="en-GB"/>
        </w:rPr>
        <w:t>all</w:t>
      </w:r>
      <w:r w:rsidR="00BF67C6">
        <w:rPr>
          <w:rFonts w:ascii="Arial" w:hAnsi="Arial" w:cs="Arial"/>
          <w:lang w:val="en-GB"/>
        </w:rPr>
        <w:t xml:space="preserve"> participating states are invited to join the Task Force. </w:t>
      </w:r>
      <w:r w:rsidR="004915E2">
        <w:rPr>
          <w:rFonts w:ascii="Arial" w:hAnsi="Arial" w:cs="Arial"/>
          <w:lang w:val="en-GB"/>
        </w:rPr>
        <w:t>Task Force meetings are open to participation from states, which are not Task Force members on request.</w:t>
      </w:r>
      <w:r w:rsidR="00F94104">
        <w:rPr>
          <w:rFonts w:ascii="Arial" w:hAnsi="Arial" w:cs="Arial"/>
          <w:lang w:val="en-GB"/>
        </w:rPr>
        <w:t xml:space="preserve"> DG COMP and DG GROW are </w:t>
      </w:r>
      <w:r w:rsidR="006D64FB">
        <w:rPr>
          <w:rFonts w:ascii="Arial" w:hAnsi="Arial" w:cs="Arial"/>
          <w:lang w:val="en-GB"/>
        </w:rPr>
        <w:t>invited to join Task Force meetings.</w:t>
      </w:r>
      <w:r w:rsidR="004915E2">
        <w:rPr>
          <w:rFonts w:ascii="Arial" w:hAnsi="Arial" w:cs="Arial"/>
          <w:lang w:val="en-GB"/>
        </w:rPr>
        <w:t xml:space="preserve"> </w:t>
      </w:r>
      <w:r w:rsidR="004915E2" w:rsidRPr="00A35113">
        <w:rPr>
          <w:rFonts w:ascii="Arial" w:hAnsi="Arial" w:cs="Arial"/>
          <w:lang w:val="en-GB"/>
        </w:rPr>
        <w:t>Once the IPCEI wave structure is defined</w:t>
      </w:r>
      <w:r w:rsidR="00BF67C6" w:rsidRPr="00A35113">
        <w:rPr>
          <w:rFonts w:ascii="Arial" w:hAnsi="Arial" w:cs="Arial"/>
          <w:lang w:val="en-GB"/>
        </w:rPr>
        <w:t xml:space="preserve">, there </w:t>
      </w:r>
      <w:r w:rsidR="002B3F01">
        <w:rPr>
          <w:rFonts w:ascii="Arial" w:hAnsi="Arial" w:cs="Arial"/>
          <w:lang w:val="en-GB"/>
        </w:rPr>
        <w:t>will be one T</w:t>
      </w:r>
      <w:r w:rsidR="00BF67C6" w:rsidRPr="00A35113">
        <w:rPr>
          <w:rFonts w:ascii="Arial" w:hAnsi="Arial" w:cs="Arial"/>
          <w:lang w:val="en-GB"/>
        </w:rPr>
        <w:t xml:space="preserve">ask </w:t>
      </w:r>
      <w:r w:rsidR="002B3F01">
        <w:rPr>
          <w:rFonts w:ascii="Arial" w:hAnsi="Arial" w:cs="Arial"/>
          <w:lang w:val="en-GB"/>
        </w:rPr>
        <w:t>F</w:t>
      </w:r>
      <w:r w:rsidR="00BF67C6" w:rsidRPr="00A35113">
        <w:rPr>
          <w:rFonts w:ascii="Arial" w:hAnsi="Arial" w:cs="Arial"/>
          <w:lang w:val="en-GB"/>
        </w:rPr>
        <w:t>orce for each IPCEI wave of notification.</w:t>
      </w:r>
    </w:p>
    <w:p w14:paraId="6A703FD5" w14:textId="77777777" w:rsidR="00731046" w:rsidRPr="00A35113" w:rsidRDefault="00731046" w:rsidP="00A35113">
      <w:pPr>
        <w:spacing w:after="0"/>
        <w:jc w:val="both"/>
        <w:rPr>
          <w:rStyle w:val="Zwaar"/>
          <w:lang w:val="en-NZ"/>
        </w:rPr>
      </w:pPr>
    </w:p>
    <w:p w14:paraId="6DEDD612" w14:textId="1E365282" w:rsidR="006B03FF" w:rsidRPr="006B03FF" w:rsidRDefault="002B3F01" w:rsidP="006B03FF">
      <w:pPr>
        <w:pStyle w:val="Lijstalinea"/>
        <w:numPr>
          <w:ilvl w:val="0"/>
          <w:numId w:val="8"/>
        </w:numPr>
        <w:spacing w:after="0"/>
        <w:jc w:val="both"/>
        <w:rPr>
          <w:rFonts w:ascii="Arial" w:hAnsi="Arial" w:cs="Arial"/>
          <w:b/>
          <w:u w:val="single"/>
          <w:lang w:val="en-GB"/>
        </w:rPr>
      </w:pPr>
      <w:r>
        <w:rPr>
          <w:rFonts w:ascii="Arial" w:hAnsi="Arial" w:cs="Arial"/>
          <w:lang w:val="en-GB"/>
        </w:rPr>
        <w:t>The</w:t>
      </w:r>
      <w:r w:rsidR="00ED5193">
        <w:rPr>
          <w:rFonts w:ascii="Arial" w:hAnsi="Arial" w:cs="Arial"/>
          <w:lang w:val="en-GB"/>
        </w:rPr>
        <w:t xml:space="preserve"> </w:t>
      </w:r>
      <w:r w:rsidR="00ED5193" w:rsidRPr="001E4DFE">
        <w:rPr>
          <w:rFonts w:ascii="Arial" w:hAnsi="Arial" w:cs="Arial"/>
          <w:lang w:val="en-GB"/>
        </w:rPr>
        <w:t>Task Force recommends to the participating states</w:t>
      </w:r>
      <w:r>
        <w:rPr>
          <w:rFonts w:ascii="Arial" w:hAnsi="Arial" w:cs="Arial"/>
          <w:lang w:val="en-GB"/>
        </w:rPr>
        <w:t xml:space="preserve">, </w:t>
      </w:r>
      <w:r w:rsidR="005A5A34" w:rsidRPr="002912F2">
        <w:rPr>
          <w:rFonts w:ascii="Arial" w:hAnsi="Arial" w:cs="Arial"/>
          <w:lang w:val="en-GB"/>
        </w:rPr>
        <w:t xml:space="preserve">which projects </w:t>
      </w:r>
      <w:r w:rsidR="00ED5193" w:rsidRPr="001E4DFE">
        <w:rPr>
          <w:rFonts w:ascii="Arial" w:hAnsi="Arial" w:cs="Arial"/>
          <w:lang w:val="en-GB"/>
        </w:rPr>
        <w:t xml:space="preserve">should </w:t>
      </w:r>
      <w:r w:rsidR="005A5A34" w:rsidRPr="001E4DFE">
        <w:rPr>
          <w:rFonts w:ascii="Arial" w:hAnsi="Arial" w:cs="Arial"/>
          <w:lang w:val="en-GB"/>
        </w:rPr>
        <w:t>participat</w:t>
      </w:r>
      <w:r w:rsidR="00ED5193" w:rsidRPr="001E4DFE">
        <w:rPr>
          <w:rFonts w:ascii="Arial" w:hAnsi="Arial" w:cs="Arial"/>
          <w:lang w:val="en-GB"/>
        </w:rPr>
        <w:t>e</w:t>
      </w:r>
      <w:r w:rsidR="005A5A34" w:rsidRPr="002912F2">
        <w:rPr>
          <w:rFonts w:ascii="Arial" w:hAnsi="Arial" w:cs="Arial"/>
          <w:lang w:val="en-GB"/>
        </w:rPr>
        <w:t xml:space="preserve"> in an IPCEI</w:t>
      </w:r>
      <w:r w:rsidR="005A5A34">
        <w:rPr>
          <w:rFonts w:ascii="Arial" w:hAnsi="Arial" w:cs="Arial"/>
          <w:lang w:val="en-GB"/>
        </w:rPr>
        <w:t xml:space="preserve"> (see Figure </w:t>
      </w:r>
      <w:r w:rsidR="00964F16">
        <w:rPr>
          <w:rFonts w:ascii="Arial" w:hAnsi="Arial" w:cs="Arial"/>
          <w:lang w:val="en-GB"/>
        </w:rPr>
        <w:t>1</w:t>
      </w:r>
      <w:r w:rsidR="005A5A34">
        <w:rPr>
          <w:rFonts w:ascii="Arial" w:hAnsi="Arial" w:cs="Arial"/>
          <w:lang w:val="en-GB"/>
        </w:rPr>
        <w:t>)</w:t>
      </w:r>
      <w:r w:rsidR="00F92398">
        <w:rPr>
          <w:rFonts w:ascii="Arial" w:hAnsi="Arial" w:cs="Arial"/>
          <w:lang w:val="en-GB"/>
        </w:rPr>
        <w:t xml:space="preserve"> </w:t>
      </w:r>
      <w:r w:rsidR="00F92398" w:rsidRPr="00F94104">
        <w:rPr>
          <w:rFonts w:ascii="Arial" w:hAnsi="Arial" w:cs="Arial"/>
          <w:lang w:val="en-GB"/>
        </w:rPr>
        <w:t xml:space="preserve">after consultation with Member States in which the criteria and reasoning behind the selections and deselection of projects </w:t>
      </w:r>
      <w:r w:rsidR="003310C6" w:rsidRPr="00F94104">
        <w:rPr>
          <w:rFonts w:ascii="Arial" w:hAnsi="Arial" w:cs="Arial"/>
          <w:lang w:val="en-GB"/>
        </w:rPr>
        <w:t>are</w:t>
      </w:r>
      <w:r w:rsidR="00F92398" w:rsidRPr="00F94104">
        <w:rPr>
          <w:rFonts w:ascii="Arial" w:hAnsi="Arial" w:cs="Arial"/>
          <w:lang w:val="en-GB"/>
        </w:rPr>
        <w:t xml:space="preserve"> described</w:t>
      </w:r>
      <w:r w:rsidR="00F92398">
        <w:rPr>
          <w:rFonts w:ascii="Arial" w:hAnsi="Arial" w:cs="Arial"/>
          <w:b/>
          <w:u w:val="single"/>
          <w:lang w:val="en-GB"/>
        </w:rPr>
        <w:t>.</w:t>
      </w:r>
      <w:r w:rsidR="00F92398">
        <w:rPr>
          <w:rFonts w:ascii="Arial" w:hAnsi="Arial" w:cs="Arial"/>
          <w:lang w:val="en-GB"/>
        </w:rPr>
        <w:t xml:space="preserve"> </w:t>
      </w:r>
      <w:r w:rsidR="00DC457E">
        <w:rPr>
          <w:rFonts w:ascii="Arial" w:hAnsi="Arial" w:cs="Arial"/>
          <w:lang w:val="en-GB"/>
        </w:rPr>
        <w:t xml:space="preserve">Projects can only be </w:t>
      </w:r>
      <w:r w:rsidR="00ED5193" w:rsidRPr="001E4DFE">
        <w:rPr>
          <w:rFonts w:ascii="Arial" w:hAnsi="Arial" w:cs="Arial"/>
          <w:lang w:val="en-GB"/>
        </w:rPr>
        <w:t>recommended to be</w:t>
      </w:r>
      <w:r w:rsidR="00ED5193">
        <w:rPr>
          <w:rFonts w:ascii="Arial" w:hAnsi="Arial" w:cs="Arial"/>
          <w:lang w:val="en-GB"/>
        </w:rPr>
        <w:t xml:space="preserve"> </w:t>
      </w:r>
      <w:r w:rsidR="00DC457E">
        <w:rPr>
          <w:rFonts w:ascii="Arial" w:hAnsi="Arial" w:cs="Arial"/>
          <w:lang w:val="en-GB"/>
        </w:rPr>
        <w:t>rejected in agreement with the affected state which selected the project</w:t>
      </w:r>
      <w:r w:rsidR="005A5A34">
        <w:rPr>
          <w:rFonts w:ascii="Arial" w:hAnsi="Arial" w:cs="Arial"/>
          <w:lang w:val="en-GB"/>
        </w:rPr>
        <w:t>.</w:t>
      </w:r>
      <w:r w:rsidR="00ED5193">
        <w:rPr>
          <w:rFonts w:ascii="Arial" w:hAnsi="Arial" w:cs="Arial"/>
          <w:lang w:val="en-GB"/>
        </w:rPr>
        <w:t xml:space="preserve"> </w:t>
      </w:r>
      <w:r w:rsidR="00ED5193" w:rsidRPr="001E4DFE">
        <w:rPr>
          <w:rFonts w:ascii="Arial" w:hAnsi="Arial" w:cs="Arial"/>
          <w:lang w:val="en-GB"/>
        </w:rPr>
        <w:t>The final decision of which projects are participating from each state is taken by the state concerned.</w:t>
      </w:r>
    </w:p>
    <w:p w14:paraId="2D33E0D9" w14:textId="77777777" w:rsidR="006B03FF" w:rsidRPr="006B03FF" w:rsidRDefault="006B03FF" w:rsidP="006B03FF">
      <w:pPr>
        <w:pStyle w:val="Lijstalinea"/>
        <w:spacing w:after="0"/>
        <w:ind w:left="1636"/>
        <w:jc w:val="both"/>
        <w:rPr>
          <w:rFonts w:ascii="Arial" w:hAnsi="Arial" w:cs="Arial"/>
          <w:b/>
          <w:u w:val="single"/>
          <w:lang w:val="en-GB"/>
        </w:rPr>
      </w:pPr>
    </w:p>
    <w:p w14:paraId="7D77A17D" w14:textId="182DD9DB" w:rsidR="006B03FF" w:rsidRPr="00DA3EC1" w:rsidRDefault="006B03FF" w:rsidP="006B03FF">
      <w:pPr>
        <w:pStyle w:val="Lijstalinea"/>
        <w:numPr>
          <w:ilvl w:val="0"/>
          <w:numId w:val="8"/>
        </w:numPr>
        <w:spacing w:after="0"/>
        <w:jc w:val="both"/>
        <w:rPr>
          <w:rFonts w:ascii="Arial" w:hAnsi="Arial" w:cs="Arial"/>
          <w:b/>
          <w:u w:val="single"/>
          <w:lang w:val="en-GB"/>
        </w:rPr>
      </w:pPr>
      <w:r>
        <w:rPr>
          <w:rFonts w:ascii="Arial" w:hAnsi="Arial" w:cs="Arial"/>
          <w:lang w:val="en-GB"/>
        </w:rPr>
        <w:t>The European Commission (DG GROW, DG COMP,</w:t>
      </w:r>
      <w:r w:rsidR="00FB29EC">
        <w:rPr>
          <w:rFonts w:ascii="Arial" w:hAnsi="Arial" w:cs="Arial"/>
          <w:lang w:val="en-GB"/>
        </w:rPr>
        <w:t xml:space="preserve"> DG ENER,</w:t>
      </w:r>
      <w:r>
        <w:rPr>
          <w:rFonts w:ascii="Arial" w:hAnsi="Arial" w:cs="Arial"/>
          <w:lang w:val="en-GB"/>
        </w:rPr>
        <w:t xml:space="preserve"> JRC) closely accompanies and supports the process and provide</w:t>
      </w:r>
      <w:r w:rsidR="00840414">
        <w:rPr>
          <w:rFonts w:ascii="Arial" w:hAnsi="Arial" w:cs="Arial"/>
          <w:lang w:val="en-GB"/>
        </w:rPr>
        <w:t>s</w:t>
      </w:r>
      <w:r>
        <w:rPr>
          <w:rFonts w:ascii="Arial" w:hAnsi="Arial" w:cs="Arial"/>
          <w:lang w:val="en-GB"/>
        </w:rPr>
        <w:t xml:space="preserve"> </w:t>
      </w:r>
      <w:r w:rsidR="00A80216">
        <w:rPr>
          <w:rFonts w:ascii="Arial" w:hAnsi="Arial" w:cs="Arial"/>
          <w:lang w:val="en-GB"/>
        </w:rPr>
        <w:t>legal, technical and procedural</w:t>
      </w:r>
      <w:r>
        <w:rPr>
          <w:rFonts w:ascii="Arial" w:hAnsi="Arial" w:cs="Arial"/>
          <w:lang w:val="en-GB"/>
        </w:rPr>
        <w:t xml:space="preserve"> guidance. </w:t>
      </w:r>
      <w:r w:rsidRPr="001E4DFE">
        <w:rPr>
          <w:rFonts w:ascii="Arial" w:hAnsi="Arial" w:cs="Arial"/>
          <w:lang w:val="en-GB"/>
        </w:rPr>
        <w:t xml:space="preserve">All decisions on content, structure and timeline of the IPCEI are </w:t>
      </w:r>
      <w:r w:rsidR="003310C6">
        <w:rPr>
          <w:rFonts w:ascii="Arial" w:hAnsi="Arial" w:cs="Arial"/>
          <w:lang w:val="en-GB"/>
        </w:rPr>
        <w:t>prepared</w:t>
      </w:r>
      <w:r w:rsidR="003310C6" w:rsidRPr="001E4DFE">
        <w:rPr>
          <w:rFonts w:ascii="Arial" w:hAnsi="Arial" w:cs="Arial"/>
          <w:lang w:val="en-GB"/>
        </w:rPr>
        <w:t xml:space="preserve"> </w:t>
      </w:r>
      <w:r w:rsidRPr="001E4DFE">
        <w:rPr>
          <w:rFonts w:ascii="Arial" w:hAnsi="Arial" w:cs="Arial"/>
          <w:lang w:val="en-GB"/>
        </w:rPr>
        <w:t>by the Task Force.</w:t>
      </w:r>
      <w:r w:rsidR="00B6738F" w:rsidRPr="001E4DFE">
        <w:rPr>
          <w:rFonts w:ascii="Arial" w:hAnsi="Arial" w:cs="Arial"/>
          <w:lang w:val="en-GB"/>
        </w:rPr>
        <w:t xml:space="preserve"> Upcoming Decisions are communicated before Task Force Meetings.</w:t>
      </w:r>
    </w:p>
    <w:p w14:paraId="717B2F9E" w14:textId="77777777" w:rsidR="006B03FF" w:rsidRPr="0049536B" w:rsidRDefault="006B03FF" w:rsidP="006B03FF">
      <w:pPr>
        <w:pStyle w:val="Lijstalinea"/>
        <w:spacing w:after="0"/>
        <w:ind w:left="1636"/>
        <w:jc w:val="both"/>
        <w:rPr>
          <w:rFonts w:ascii="Arial" w:hAnsi="Arial" w:cs="Arial"/>
          <w:b/>
          <w:u w:val="single"/>
          <w:lang w:val="en-GB"/>
        </w:rPr>
      </w:pPr>
    </w:p>
    <w:p w14:paraId="54EFEEA9" w14:textId="77777777" w:rsidR="006B03FF" w:rsidRPr="006B03FF" w:rsidRDefault="006B03FF" w:rsidP="006B03FF">
      <w:pPr>
        <w:pStyle w:val="Lijstalinea"/>
        <w:spacing w:after="0"/>
        <w:ind w:left="1636"/>
        <w:jc w:val="both"/>
        <w:rPr>
          <w:rFonts w:ascii="Arial" w:hAnsi="Arial" w:cs="Arial"/>
          <w:b/>
          <w:u w:val="single"/>
          <w:lang w:val="en-GB"/>
        </w:rPr>
      </w:pPr>
    </w:p>
    <w:p w14:paraId="7AAC1FEB" w14:textId="33711F7E" w:rsidR="00FC2C45" w:rsidRPr="00FC2C45" w:rsidRDefault="00FC2C45" w:rsidP="00FC2C45">
      <w:pPr>
        <w:spacing w:after="0"/>
        <w:jc w:val="both"/>
        <w:rPr>
          <w:rFonts w:ascii="Arial" w:hAnsi="Arial" w:cs="Arial"/>
          <w:b/>
          <w:u w:val="single"/>
          <w:lang w:val="en-GB"/>
        </w:rPr>
      </w:pPr>
      <w:r>
        <w:rPr>
          <w:noProof/>
          <w:lang w:val="en-NZ" w:eastAsia="en-NZ"/>
        </w:rPr>
        <w:drawing>
          <wp:inline distT="0" distB="0" distL="0" distR="0" wp14:anchorId="42471B35" wp14:editId="1996A50A">
            <wp:extent cx="6314536" cy="333537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813" b="-1"/>
                    <a:stretch/>
                  </pic:blipFill>
                  <pic:spPr bwMode="auto">
                    <a:xfrm>
                      <a:off x="0" y="0"/>
                      <a:ext cx="6326817" cy="3341864"/>
                    </a:xfrm>
                    <a:prstGeom prst="rect">
                      <a:avLst/>
                    </a:prstGeom>
                    <a:ln>
                      <a:noFill/>
                    </a:ln>
                    <a:extLst>
                      <a:ext uri="{53640926-AAD7-44D8-BBD7-CCE9431645EC}">
                        <a14:shadowObscured xmlns:a14="http://schemas.microsoft.com/office/drawing/2010/main"/>
                      </a:ext>
                    </a:extLst>
                  </pic:spPr>
                </pic:pic>
              </a:graphicData>
            </a:graphic>
          </wp:inline>
        </w:drawing>
      </w:r>
    </w:p>
    <w:p w14:paraId="357D656E" w14:textId="36BE3691" w:rsidR="00FC2C45" w:rsidRPr="007E1A94" w:rsidRDefault="00FC2C45" w:rsidP="00FC2C45">
      <w:pPr>
        <w:pStyle w:val="Bijschrift"/>
        <w:jc w:val="right"/>
        <w:rPr>
          <w:rFonts w:ascii="Arial" w:hAnsi="Arial" w:cs="Arial"/>
          <w:lang w:val="en-GB"/>
        </w:rPr>
      </w:pPr>
      <w:r w:rsidRPr="007E1A94">
        <w:rPr>
          <w:lang w:val="en-NZ"/>
        </w:rPr>
        <w:t xml:space="preserve">Figure </w:t>
      </w:r>
      <w:r w:rsidR="00964F16">
        <w:rPr>
          <w:lang w:val="en-NZ"/>
        </w:rPr>
        <w:t>1</w:t>
      </w:r>
      <w:r w:rsidRPr="007E1A94">
        <w:rPr>
          <w:lang w:val="en-NZ"/>
        </w:rPr>
        <w:t>: Governance structure for pre-engineering</w:t>
      </w:r>
    </w:p>
    <w:p w14:paraId="5C521690" w14:textId="28273ED4" w:rsidR="00E92EC1" w:rsidRPr="006B03FF" w:rsidRDefault="00E92EC1" w:rsidP="006B03FF">
      <w:pPr>
        <w:spacing w:after="0"/>
        <w:jc w:val="both"/>
        <w:rPr>
          <w:rFonts w:ascii="Arial" w:hAnsi="Arial" w:cs="Arial"/>
          <w:b/>
          <w:u w:val="single"/>
          <w:lang w:val="en-GB"/>
        </w:rPr>
      </w:pPr>
    </w:p>
    <w:p w14:paraId="449C0B52" w14:textId="5525F4B7" w:rsidR="00A80216" w:rsidRPr="003A1A8A" w:rsidRDefault="00A80216" w:rsidP="001952C7">
      <w:pPr>
        <w:pStyle w:val="Lijstalinea"/>
        <w:numPr>
          <w:ilvl w:val="0"/>
          <w:numId w:val="8"/>
        </w:numPr>
        <w:spacing w:after="0"/>
        <w:jc w:val="both"/>
        <w:rPr>
          <w:rFonts w:ascii="Arial" w:hAnsi="Arial" w:cs="Arial"/>
          <w:b/>
          <w:u w:val="single"/>
          <w:lang w:val="en-GB"/>
        </w:rPr>
      </w:pPr>
      <w:r>
        <w:rPr>
          <w:rFonts w:ascii="Arial" w:hAnsi="Arial" w:cs="Arial"/>
          <w:lang w:val="en-GB"/>
        </w:rPr>
        <w:t xml:space="preserve">Companies that </w:t>
      </w:r>
      <w:r w:rsidR="004402A6">
        <w:rPr>
          <w:rFonts w:ascii="Arial" w:hAnsi="Arial" w:cs="Arial"/>
          <w:lang w:val="en-GB"/>
        </w:rPr>
        <w:t xml:space="preserve">intend to </w:t>
      </w:r>
      <w:r>
        <w:rPr>
          <w:rFonts w:ascii="Arial" w:hAnsi="Arial" w:cs="Arial"/>
          <w:lang w:val="en-GB"/>
        </w:rPr>
        <w:t>directly receive state aid under IPCEI are called direct partners. Companies can also be indirect IPCEI partners (e.g. as subcontractors or receiving State aid under other mechanisms (EEAG, RDI Framework, GBER, etc.)</w:t>
      </w:r>
      <w:r w:rsidR="006D64FB">
        <w:rPr>
          <w:rFonts w:ascii="Arial" w:hAnsi="Arial" w:cs="Arial"/>
          <w:lang w:val="en-GB"/>
        </w:rPr>
        <w:t xml:space="preserve"> meaning they do not apply for state aid funding under the IPCEI Communication</w:t>
      </w:r>
      <w:r>
        <w:rPr>
          <w:rFonts w:ascii="Arial" w:hAnsi="Arial" w:cs="Arial"/>
          <w:lang w:val="en-GB"/>
        </w:rPr>
        <w:t>. GBER support exempts indirect partners from notification.</w:t>
      </w:r>
      <w:r w:rsidR="006D64FB">
        <w:rPr>
          <w:rFonts w:ascii="Arial" w:hAnsi="Arial" w:cs="Arial"/>
          <w:lang w:val="en-GB"/>
        </w:rPr>
        <w:t xml:space="preserve"> </w:t>
      </w:r>
      <w:r>
        <w:rPr>
          <w:rFonts w:ascii="Arial" w:hAnsi="Arial" w:cs="Arial"/>
          <w:lang w:val="en-GB"/>
        </w:rPr>
        <w:t xml:space="preserve">States decide at national level whether one of their projects is a direct or indirect partner, also in light of the IPCEI requirements. This decision should be made as soon as possible in the process. </w:t>
      </w:r>
    </w:p>
    <w:p w14:paraId="239D1E49" w14:textId="77777777" w:rsidR="00E92EC1" w:rsidRPr="003A1A8A" w:rsidRDefault="00E92EC1" w:rsidP="00E92EC1">
      <w:pPr>
        <w:pStyle w:val="Lijstalinea"/>
        <w:spacing w:after="0"/>
        <w:ind w:left="1494"/>
        <w:jc w:val="both"/>
        <w:rPr>
          <w:rFonts w:ascii="Arial" w:hAnsi="Arial" w:cs="Arial"/>
          <w:b/>
          <w:u w:val="single"/>
          <w:lang w:val="en-GB"/>
        </w:rPr>
      </w:pPr>
    </w:p>
    <w:p w14:paraId="22F577A0" w14:textId="7B25FE0D" w:rsidR="00E92EC1" w:rsidRPr="006B03FF" w:rsidRDefault="00E92EC1" w:rsidP="001952C7">
      <w:pPr>
        <w:pStyle w:val="Lijstalinea"/>
        <w:numPr>
          <w:ilvl w:val="0"/>
          <w:numId w:val="8"/>
        </w:numPr>
        <w:spacing w:after="0"/>
        <w:jc w:val="both"/>
        <w:rPr>
          <w:rFonts w:ascii="Arial" w:hAnsi="Arial" w:cs="Arial"/>
          <w:b/>
          <w:u w:val="single"/>
          <w:lang w:val="en-GB"/>
        </w:rPr>
      </w:pPr>
      <w:r>
        <w:rPr>
          <w:rFonts w:ascii="Arial" w:hAnsi="Arial" w:cs="Arial"/>
          <w:lang w:val="en-GB"/>
        </w:rPr>
        <w:t xml:space="preserve">Match-making will include both direct and indirect partners. This does not affect the principle that </w:t>
      </w:r>
      <w:r w:rsidR="00FB29EC">
        <w:rPr>
          <w:rFonts w:ascii="Arial" w:hAnsi="Arial" w:cs="Arial"/>
          <w:lang w:val="en-GB"/>
        </w:rPr>
        <w:t xml:space="preserve">participating </w:t>
      </w:r>
      <w:r w:rsidR="001B6265">
        <w:rPr>
          <w:rFonts w:ascii="Arial" w:hAnsi="Arial" w:cs="Arial"/>
          <w:lang w:val="en-GB"/>
        </w:rPr>
        <w:t>s</w:t>
      </w:r>
      <w:r>
        <w:rPr>
          <w:rFonts w:ascii="Arial" w:hAnsi="Arial" w:cs="Arial"/>
          <w:lang w:val="en-GB"/>
        </w:rPr>
        <w:t xml:space="preserve">tates have to conduct a thorough pre-selection and can only insert a limited number of projects to the match-making procedure. Challenge Sessions </w:t>
      </w:r>
      <w:r w:rsidRPr="008A5E7A">
        <w:rPr>
          <w:rFonts w:ascii="Arial" w:hAnsi="Arial" w:cs="Arial"/>
          <w:lang w:val="en-GB"/>
        </w:rPr>
        <w:t>(</w:t>
      </w:r>
      <w:r w:rsidRPr="00E92EC1">
        <w:rPr>
          <w:rFonts w:ascii="Arial" w:hAnsi="Arial" w:cs="Arial"/>
          <w:color w:val="FF0000"/>
          <w:lang w:val="en-GB"/>
        </w:rPr>
        <w:t xml:space="preserve">see </w:t>
      </w:r>
      <w:r>
        <w:rPr>
          <w:rFonts w:ascii="Arial" w:hAnsi="Arial" w:cs="Arial"/>
          <w:color w:val="FF0000"/>
          <w:lang w:val="en-GB"/>
        </w:rPr>
        <w:t>N</w:t>
      </w:r>
      <w:r w:rsidR="00FB29EC">
        <w:rPr>
          <w:rFonts w:ascii="Arial" w:hAnsi="Arial" w:cs="Arial"/>
          <w:color w:val="FF0000"/>
          <w:lang w:val="en-GB"/>
        </w:rPr>
        <w:t>o</w:t>
      </w:r>
      <w:r>
        <w:rPr>
          <w:rFonts w:ascii="Arial" w:hAnsi="Arial" w:cs="Arial"/>
          <w:color w:val="FF0000"/>
          <w:lang w:val="en-GB"/>
        </w:rPr>
        <w:t>.</w:t>
      </w:r>
      <w:r w:rsidRPr="00E92EC1">
        <w:rPr>
          <w:rFonts w:ascii="Arial" w:hAnsi="Arial" w:cs="Arial"/>
          <w:color w:val="FF0000"/>
          <w:lang w:val="en-GB"/>
        </w:rPr>
        <w:t xml:space="preserve"> </w:t>
      </w:r>
      <w:r w:rsidR="006E0709">
        <w:rPr>
          <w:rFonts w:ascii="Arial" w:hAnsi="Arial" w:cs="Arial"/>
          <w:color w:val="FF0000"/>
          <w:lang w:val="en-GB"/>
        </w:rPr>
        <w:t>17</w:t>
      </w:r>
      <w:r w:rsidR="004B3902">
        <w:rPr>
          <w:rFonts w:ascii="Arial" w:hAnsi="Arial" w:cs="Arial"/>
          <w:color w:val="FF0000"/>
          <w:lang w:val="en-GB"/>
        </w:rPr>
        <w:t>.</w:t>
      </w:r>
      <w:r w:rsidRPr="008A5E7A">
        <w:rPr>
          <w:rFonts w:ascii="Arial" w:hAnsi="Arial" w:cs="Arial"/>
          <w:lang w:val="en-GB"/>
        </w:rPr>
        <w:t>)</w:t>
      </w:r>
      <w:r>
        <w:rPr>
          <w:rFonts w:ascii="Arial" w:hAnsi="Arial" w:cs="Arial"/>
          <w:color w:val="FF0000"/>
          <w:lang w:val="en-GB"/>
        </w:rPr>
        <w:t xml:space="preserve"> </w:t>
      </w:r>
      <w:r>
        <w:rPr>
          <w:rFonts w:ascii="Arial" w:hAnsi="Arial" w:cs="Arial"/>
          <w:color w:val="000000" w:themeColor="text1"/>
          <w:lang w:val="en-GB"/>
        </w:rPr>
        <w:t>include direct partners only.</w:t>
      </w:r>
    </w:p>
    <w:p w14:paraId="5634E692" w14:textId="1BE6A07F" w:rsidR="005A5A34" w:rsidRDefault="005A5A34" w:rsidP="006B5AB2">
      <w:pPr>
        <w:spacing w:after="0"/>
        <w:jc w:val="both"/>
        <w:rPr>
          <w:rFonts w:ascii="Arial" w:hAnsi="Arial" w:cs="Arial"/>
          <w:b/>
          <w:u w:val="single"/>
          <w:lang w:val="en-GB"/>
        </w:rPr>
      </w:pPr>
    </w:p>
    <w:p w14:paraId="1FE1C65E" w14:textId="5EC431FC" w:rsidR="00357C15" w:rsidRPr="005A5A34" w:rsidRDefault="006B5AB2" w:rsidP="005A5A34">
      <w:pPr>
        <w:pStyle w:val="Kop1"/>
        <w:rPr>
          <w:lang w:val="en-GB"/>
        </w:rPr>
      </w:pPr>
      <w:r>
        <w:rPr>
          <w:lang w:val="en-GB"/>
        </w:rPr>
        <w:t xml:space="preserve">The </w:t>
      </w:r>
      <w:r w:rsidRPr="00E92EC1">
        <w:rPr>
          <w:lang w:val="en-NZ"/>
        </w:rPr>
        <w:t>Match</w:t>
      </w:r>
      <w:r>
        <w:rPr>
          <w:lang w:val="en-GB"/>
        </w:rPr>
        <w:t>-</w:t>
      </w:r>
      <w:r w:rsidRPr="00343169">
        <w:rPr>
          <w:lang w:val="en-NZ"/>
        </w:rPr>
        <w:t>making</w:t>
      </w:r>
      <w:r>
        <w:rPr>
          <w:lang w:val="en-GB"/>
        </w:rPr>
        <w:t xml:space="preserve"> Procedure</w:t>
      </w:r>
    </w:p>
    <w:p w14:paraId="62889CBE" w14:textId="77777777" w:rsidR="006B5AB2" w:rsidRPr="006B5AB2" w:rsidRDefault="006B5AB2" w:rsidP="006B5AB2">
      <w:pPr>
        <w:spacing w:after="0"/>
        <w:jc w:val="both"/>
        <w:rPr>
          <w:rFonts w:ascii="Arial" w:hAnsi="Arial" w:cs="Arial"/>
          <w:b/>
          <w:u w:val="single"/>
          <w:lang w:val="en-GB"/>
        </w:rPr>
      </w:pPr>
    </w:p>
    <w:p w14:paraId="2DF20169" w14:textId="77748717" w:rsidR="00343169" w:rsidRDefault="00DA3EC1" w:rsidP="00343169">
      <w:pPr>
        <w:pStyle w:val="Lijstalinea"/>
        <w:spacing w:after="0"/>
        <w:ind w:left="1494"/>
        <w:jc w:val="both"/>
        <w:rPr>
          <w:rFonts w:ascii="Arial" w:hAnsi="Arial" w:cs="Arial"/>
          <w:i/>
          <w:lang w:val="en-GB"/>
        </w:rPr>
      </w:pPr>
      <w:r>
        <w:rPr>
          <w:rFonts w:ascii="Arial" w:hAnsi="Arial" w:cs="Arial"/>
          <w:i/>
          <w:lang w:val="en-GB"/>
        </w:rPr>
        <w:t>Pr</w:t>
      </w:r>
      <w:r w:rsidR="00343169">
        <w:rPr>
          <w:rFonts w:ascii="Arial" w:hAnsi="Arial" w:cs="Arial"/>
          <w:i/>
          <w:lang w:val="en-GB"/>
        </w:rPr>
        <w:t>e-engineering</w:t>
      </w:r>
      <w:r>
        <w:rPr>
          <w:rFonts w:ascii="Arial" w:hAnsi="Arial" w:cs="Arial"/>
          <w:i/>
          <w:lang w:val="en-GB"/>
        </w:rPr>
        <w:t>, fact sheets, EU survey</w:t>
      </w:r>
    </w:p>
    <w:p w14:paraId="274D84D0" w14:textId="47960654" w:rsidR="00B375F0" w:rsidRPr="005A5A34" w:rsidRDefault="00B375F0" w:rsidP="005A5A34">
      <w:pPr>
        <w:spacing w:after="0"/>
        <w:jc w:val="both"/>
        <w:rPr>
          <w:rFonts w:ascii="Arial" w:hAnsi="Arial" w:cs="Arial"/>
          <w:b/>
          <w:u w:val="single"/>
          <w:lang w:val="en-GB"/>
        </w:rPr>
      </w:pPr>
    </w:p>
    <w:p w14:paraId="1B9C4E18" w14:textId="72C0D42E" w:rsidR="00A35113" w:rsidRPr="00A35113" w:rsidRDefault="006B5AB2" w:rsidP="00A35113">
      <w:pPr>
        <w:pStyle w:val="Lijstalinea"/>
        <w:numPr>
          <w:ilvl w:val="0"/>
          <w:numId w:val="8"/>
        </w:numPr>
        <w:spacing w:after="0"/>
        <w:jc w:val="both"/>
        <w:rPr>
          <w:rFonts w:ascii="Arial" w:hAnsi="Arial" w:cs="Arial"/>
          <w:b/>
          <w:u w:val="single"/>
          <w:lang w:val="en-GB"/>
        </w:rPr>
      </w:pPr>
      <w:r w:rsidRPr="006B5AB2">
        <w:rPr>
          <w:rFonts w:ascii="Arial" w:hAnsi="Arial" w:cs="Arial"/>
          <w:lang w:val="en-GB"/>
        </w:rPr>
        <w:t>The match-making procedure is conducted with all projects shortlisted at national level</w:t>
      </w:r>
      <w:r w:rsidR="00B95626">
        <w:rPr>
          <w:rFonts w:ascii="Arial" w:hAnsi="Arial" w:cs="Arial"/>
          <w:lang w:val="en-GB"/>
        </w:rPr>
        <w:t xml:space="preserve"> – direct, indirect and ‘undecided’ partners</w:t>
      </w:r>
      <w:r w:rsidRPr="006B5AB2">
        <w:rPr>
          <w:rFonts w:ascii="Arial" w:hAnsi="Arial" w:cs="Arial"/>
          <w:lang w:val="en-GB"/>
        </w:rPr>
        <w:t>. In order to ensure a manageable amount of projects for the match-making</w:t>
      </w:r>
      <w:r w:rsidR="00411B24">
        <w:rPr>
          <w:rFonts w:ascii="Arial" w:hAnsi="Arial" w:cs="Arial"/>
          <w:lang w:val="en-GB"/>
        </w:rPr>
        <w:t>, participating s</w:t>
      </w:r>
      <w:r w:rsidRPr="006B5AB2">
        <w:rPr>
          <w:rFonts w:ascii="Arial" w:hAnsi="Arial" w:cs="Arial"/>
          <w:lang w:val="en-GB"/>
        </w:rPr>
        <w:t xml:space="preserve">tates have to conduct a thorough national pre-selection in line with </w:t>
      </w:r>
      <w:r w:rsidR="00D74D44">
        <w:rPr>
          <w:rFonts w:ascii="Arial" w:hAnsi="Arial" w:cs="Arial"/>
          <w:lang w:val="en-GB"/>
        </w:rPr>
        <w:t xml:space="preserve">the national budget </w:t>
      </w:r>
      <w:r w:rsidR="009A2C44">
        <w:rPr>
          <w:rFonts w:ascii="Arial" w:hAnsi="Arial" w:cs="Arial"/>
          <w:lang w:val="en-GB"/>
        </w:rPr>
        <w:t xml:space="preserve">and </w:t>
      </w:r>
      <w:r w:rsidRPr="006B5AB2">
        <w:rPr>
          <w:rFonts w:ascii="Arial" w:hAnsi="Arial" w:cs="Arial"/>
          <w:lang w:val="en-GB"/>
        </w:rPr>
        <w:t>both national and EU priorities as well as with the IPCEI communic</w:t>
      </w:r>
      <w:r w:rsidR="005E3366">
        <w:rPr>
          <w:rFonts w:ascii="Arial" w:hAnsi="Arial" w:cs="Arial"/>
          <w:lang w:val="en-GB"/>
        </w:rPr>
        <w:t>ation</w:t>
      </w:r>
      <w:r w:rsidR="00964F16">
        <w:rPr>
          <w:rFonts w:ascii="Arial" w:hAnsi="Arial" w:cs="Arial"/>
          <w:lang w:val="en-GB"/>
        </w:rPr>
        <w:t xml:space="preserve"> (see Figure 2</w:t>
      </w:r>
      <w:r w:rsidR="007E1A94">
        <w:rPr>
          <w:rFonts w:ascii="Arial" w:hAnsi="Arial" w:cs="Arial"/>
          <w:lang w:val="en-GB"/>
        </w:rPr>
        <w:t>).</w:t>
      </w:r>
      <w:r w:rsidR="00AA0EE7">
        <w:rPr>
          <w:rFonts w:ascii="Arial" w:hAnsi="Arial" w:cs="Arial"/>
          <w:lang w:val="en-GB"/>
        </w:rPr>
        <w:t xml:space="preserve"> </w:t>
      </w:r>
      <w:r w:rsidR="00AA0EE7" w:rsidRPr="00B72C4A">
        <w:rPr>
          <w:rFonts w:ascii="Arial" w:hAnsi="Arial" w:cs="Arial"/>
          <w:lang w:val="en-GB"/>
        </w:rPr>
        <w:t>Participating states may, if necessary, conduct a final selection process after the European match-making to ensure coordination between national budgets and appr</w:t>
      </w:r>
      <w:r w:rsidR="00840414">
        <w:rPr>
          <w:rFonts w:ascii="Arial" w:hAnsi="Arial" w:cs="Arial"/>
          <w:lang w:val="en-GB"/>
        </w:rPr>
        <w:t>oved projects by the Task Force</w:t>
      </w:r>
      <w:r w:rsidR="00AA0EE7" w:rsidRPr="00B72C4A">
        <w:rPr>
          <w:rFonts w:ascii="Arial" w:hAnsi="Arial" w:cs="Arial"/>
          <w:lang w:val="en-GB"/>
        </w:rPr>
        <w:t xml:space="preserve"> </w:t>
      </w:r>
      <w:r w:rsidR="00840414">
        <w:rPr>
          <w:rFonts w:ascii="Arial" w:hAnsi="Arial" w:cs="Arial"/>
          <w:lang w:val="en-GB"/>
        </w:rPr>
        <w:t>(</w:t>
      </w:r>
      <w:r w:rsidR="00840414">
        <w:rPr>
          <w:rFonts w:ascii="Arial" w:hAnsi="Arial" w:cs="Arial"/>
          <w:color w:val="FF0000"/>
          <w:lang w:val="en-GB"/>
        </w:rPr>
        <w:t>see N</w:t>
      </w:r>
      <w:r w:rsidR="00AA0EE7" w:rsidRPr="00840414">
        <w:rPr>
          <w:rFonts w:ascii="Arial" w:hAnsi="Arial" w:cs="Arial"/>
          <w:color w:val="FF0000"/>
          <w:lang w:val="en-GB"/>
        </w:rPr>
        <w:t>o. 19</w:t>
      </w:r>
      <w:r w:rsidR="004B3902">
        <w:rPr>
          <w:rFonts w:ascii="Arial" w:hAnsi="Arial" w:cs="Arial"/>
          <w:color w:val="FF0000"/>
          <w:lang w:val="en-GB"/>
        </w:rPr>
        <w:t>.</w:t>
      </w:r>
      <w:r w:rsidR="00840414">
        <w:rPr>
          <w:rFonts w:ascii="Arial" w:hAnsi="Arial" w:cs="Arial"/>
          <w:lang w:val="en-GB"/>
        </w:rPr>
        <w:t>)</w:t>
      </w:r>
      <w:r w:rsidR="00AA0EE7" w:rsidRPr="00B72C4A">
        <w:rPr>
          <w:rFonts w:ascii="Arial" w:hAnsi="Arial" w:cs="Arial"/>
          <w:lang w:val="en-GB"/>
        </w:rPr>
        <w:t>.</w:t>
      </w:r>
    </w:p>
    <w:p w14:paraId="0B07DA8D" w14:textId="77777777" w:rsidR="00A35113" w:rsidRPr="00A35113" w:rsidRDefault="00A35113" w:rsidP="00A35113">
      <w:pPr>
        <w:pStyle w:val="Lijstalinea"/>
        <w:spacing w:after="0"/>
        <w:ind w:left="1636"/>
        <w:jc w:val="both"/>
        <w:rPr>
          <w:rFonts w:ascii="Arial" w:hAnsi="Arial" w:cs="Arial"/>
          <w:b/>
          <w:u w:val="single"/>
          <w:lang w:val="en-GB"/>
        </w:rPr>
      </w:pPr>
    </w:p>
    <w:p w14:paraId="0DCC3024" w14:textId="7B7B63D9" w:rsidR="008E7C1B" w:rsidRPr="00A35113" w:rsidRDefault="00FC2C45" w:rsidP="00A35113">
      <w:pPr>
        <w:pStyle w:val="Lijstalinea"/>
        <w:numPr>
          <w:ilvl w:val="0"/>
          <w:numId w:val="8"/>
        </w:numPr>
        <w:spacing w:after="0"/>
        <w:jc w:val="both"/>
        <w:rPr>
          <w:rFonts w:ascii="Arial" w:hAnsi="Arial" w:cs="Arial"/>
          <w:b/>
          <w:lang w:val="en-GB"/>
        </w:rPr>
      </w:pPr>
      <w:r w:rsidRPr="00A35113">
        <w:rPr>
          <w:rFonts w:ascii="Arial" w:hAnsi="Arial" w:cs="Arial"/>
          <w:lang w:val="en-GB"/>
        </w:rPr>
        <w:t xml:space="preserve">The first step in the match-making procedure is </w:t>
      </w:r>
      <w:r w:rsidR="00DA3EC1" w:rsidRPr="00A35113">
        <w:rPr>
          <w:rFonts w:ascii="Arial" w:hAnsi="Arial" w:cs="Arial"/>
          <w:lang w:val="en-GB"/>
        </w:rPr>
        <w:t>the</w:t>
      </w:r>
      <w:r w:rsidRPr="00A35113">
        <w:rPr>
          <w:rFonts w:ascii="Arial" w:hAnsi="Arial" w:cs="Arial"/>
          <w:lang w:val="en-GB"/>
        </w:rPr>
        <w:t xml:space="preserve"> so-called pre-engineering. </w:t>
      </w:r>
      <w:r w:rsidR="00DA3EC1" w:rsidRPr="00A35113">
        <w:rPr>
          <w:rFonts w:ascii="Arial" w:hAnsi="Arial" w:cs="Arial"/>
          <w:lang w:val="en-GB"/>
        </w:rPr>
        <w:t xml:space="preserve">During the pre-engineering, project fact sheets containing non-sensitive information are collected. DG GROW has set up an EU Survey based on the fact sheet template. Companies </w:t>
      </w:r>
      <w:r w:rsidR="00F92398" w:rsidRPr="00B72C4A">
        <w:rPr>
          <w:rFonts w:ascii="Arial" w:hAnsi="Arial" w:cs="Arial"/>
          <w:lang w:val="en-GB"/>
        </w:rPr>
        <w:t>are obliged to</w:t>
      </w:r>
      <w:r w:rsidR="00F92398" w:rsidRPr="00A35113">
        <w:rPr>
          <w:rFonts w:ascii="Arial" w:hAnsi="Arial" w:cs="Arial"/>
          <w:lang w:val="en-GB"/>
        </w:rPr>
        <w:t xml:space="preserve"> </w:t>
      </w:r>
      <w:r w:rsidR="00DA3EC1" w:rsidRPr="00A35113">
        <w:rPr>
          <w:rFonts w:ascii="Arial" w:hAnsi="Arial" w:cs="Arial"/>
          <w:lang w:val="en-GB"/>
        </w:rPr>
        <w:t xml:space="preserve">fill out </w:t>
      </w:r>
      <w:r w:rsidR="00F92398" w:rsidRPr="00B72C4A">
        <w:rPr>
          <w:rFonts w:ascii="Arial" w:hAnsi="Arial" w:cs="Arial"/>
          <w:lang w:val="en-GB"/>
        </w:rPr>
        <w:t xml:space="preserve">a </w:t>
      </w:r>
      <w:r w:rsidR="00DA3EC1" w:rsidRPr="00A35113">
        <w:rPr>
          <w:rFonts w:ascii="Arial" w:hAnsi="Arial" w:cs="Arial"/>
          <w:lang w:val="en-GB"/>
        </w:rPr>
        <w:t>fact sheet</w:t>
      </w:r>
      <w:r w:rsidR="00F92398">
        <w:rPr>
          <w:rFonts w:ascii="Arial" w:hAnsi="Arial" w:cs="Arial"/>
          <w:lang w:val="en-GB"/>
        </w:rPr>
        <w:t xml:space="preserve"> </w:t>
      </w:r>
      <w:r w:rsidR="00F92398" w:rsidRPr="00B72C4A">
        <w:rPr>
          <w:rFonts w:ascii="Arial" w:hAnsi="Arial" w:cs="Arial"/>
          <w:lang w:val="en-GB"/>
        </w:rPr>
        <w:t>per project</w:t>
      </w:r>
      <w:r w:rsidR="00F92398">
        <w:rPr>
          <w:rFonts w:ascii="Arial" w:hAnsi="Arial" w:cs="Arial"/>
          <w:b/>
          <w:u w:val="single"/>
          <w:lang w:val="en-GB"/>
        </w:rPr>
        <w:t xml:space="preserve"> </w:t>
      </w:r>
      <w:r w:rsidR="00DA3EC1" w:rsidRPr="00A35113">
        <w:rPr>
          <w:rFonts w:ascii="Arial" w:hAnsi="Arial" w:cs="Arial"/>
          <w:lang w:val="en-GB"/>
        </w:rPr>
        <w:t xml:space="preserve">on the EU Survey interface and upload it. Thereby a database containing fact sheets from all nationally pre-selected projects is hosted with DG GROW. DG GROW shares the fact sheets only with </w:t>
      </w:r>
      <w:r w:rsidR="00A80216" w:rsidRPr="00A35113">
        <w:rPr>
          <w:rFonts w:ascii="Arial" w:hAnsi="Arial" w:cs="Arial"/>
          <w:lang w:val="en-GB"/>
        </w:rPr>
        <w:t>the public authorities of all participating states</w:t>
      </w:r>
      <w:r w:rsidR="008E7C1B" w:rsidRPr="00A35113">
        <w:rPr>
          <w:rFonts w:ascii="Arial" w:hAnsi="Arial" w:cs="Arial"/>
          <w:lang w:val="en-GB"/>
        </w:rPr>
        <w:t>.</w:t>
      </w:r>
      <w:r w:rsidR="00A35113">
        <w:rPr>
          <w:rFonts w:ascii="Arial" w:hAnsi="Arial" w:cs="Arial"/>
          <w:lang w:val="en-GB"/>
        </w:rPr>
        <w:t xml:space="preserve"> </w:t>
      </w:r>
      <w:r w:rsidR="008E7C1B" w:rsidRPr="00A35113">
        <w:rPr>
          <w:rFonts w:ascii="Arial" w:hAnsi="Arial" w:cs="Arial"/>
          <w:lang w:val="en-GB"/>
        </w:rPr>
        <w:t xml:space="preserve">Fact sheets </w:t>
      </w:r>
      <w:r w:rsidR="004C69AC" w:rsidRPr="00A35113">
        <w:rPr>
          <w:rFonts w:ascii="Arial" w:hAnsi="Arial" w:cs="Arial"/>
          <w:lang w:val="en-GB"/>
        </w:rPr>
        <w:t>must</w:t>
      </w:r>
      <w:r w:rsidR="008E7C1B" w:rsidRPr="00A35113">
        <w:rPr>
          <w:rFonts w:ascii="Arial" w:hAnsi="Arial" w:cs="Arial"/>
          <w:lang w:val="en-GB"/>
        </w:rPr>
        <w:t xml:space="preserve"> be submitted by </w:t>
      </w:r>
      <w:r w:rsidR="00937B36" w:rsidRPr="00A35113">
        <w:rPr>
          <w:rFonts w:ascii="Arial" w:hAnsi="Arial" w:cs="Arial"/>
          <w:lang w:val="en-GB"/>
        </w:rPr>
        <w:t xml:space="preserve">all companies pre-selected at national level regardless of whether they intend to be direct or indirect partners. </w:t>
      </w:r>
    </w:p>
    <w:p w14:paraId="43B76BE5" w14:textId="38F79998" w:rsidR="00532C4F" w:rsidRPr="00A35113" w:rsidRDefault="008E7C1B" w:rsidP="00A35113">
      <w:pPr>
        <w:pStyle w:val="Lijstalinea"/>
        <w:spacing w:after="0"/>
        <w:ind w:left="1636"/>
        <w:jc w:val="both"/>
        <w:rPr>
          <w:rFonts w:ascii="Arial" w:hAnsi="Arial" w:cs="Arial"/>
          <w:b/>
          <w:lang w:val="en-GB"/>
        </w:rPr>
      </w:pPr>
      <w:r w:rsidRPr="00A35113">
        <w:rPr>
          <w:rFonts w:ascii="Arial" w:hAnsi="Arial" w:cs="Arial"/>
          <w:lang w:val="en-GB"/>
        </w:rPr>
        <w:br/>
      </w:r>
    </w:p>
    <w:p w14:paraId="653C9359" w14:textId="77777777" w:rsidR="00E92EC1" w:rsidRPr="00FC2C45" w:rsidRDefault="00E92EC1" w:rsidP="00FC2C45">
      <w:pPr>
        <w:spacing w:after="0"/>
        <w:jc w:val="both"/>
        <w:rPr>
          <w:rFonts w:ascii="Arial" w:hAnsi="Arial" w:cs="Arial"/>
          <w:b/>
          <w:u w:val="single"/>
          <w:lang w:val="en-GB"/>
        </w:rPr>
      </w:pPr>
    </w:p>
    <w:p w14:paraId="604AEC68" w14:textId="3293CF39" w:rsidR="007E1A94" w:rsidRDefault="00366A3A" w:rsidP="00532C4F">
      <w:pPr>
        <w:keepNext/>
        <w:spacing w:after="0"/>
        <w:jc w:val="both"/>
      </w:pPr>
      <w:r>
        <w:rPr>
          <w:noProof/>
          <w:lang w:val="en-NZ" w:eastAsia="en-NZ"/>
        </w:rPr>
        <w:drawing>
          <wp:inline distT="0" distB="0" distL="0" distR="0" wp14:anchorId="4AFBC6E5" wp14:editId="61AE05E4">
            <wp:extent cx="6409427" cy="3123961"/>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19" t="16406" b="2575"/>
                    <a:stretch/>
                  </pic:blipFill>
                  <pic:spPr bwMode="auto">
                    <a:xfrm>
                      <a:off x="0" y="0"/>
                      <a:ext cx="6575215" cy="3204766"/>
                    </a:xfrm>
                    <a:prstGeom prst="rect">
                      <a:avLst/>
                    </a:prstGeom>
                    <a:ln>
                      <a:noFill/>
                    </a:ln>
                    <a:extLst>
                      <a:ext uri="{53640926-AAD7-44D8-BBD7-CCE9431645EC}">
                        <a14:shadowObscured xmlns:a14="http://schemas.microsoft.com/office/drawing/2010/main"/>
                      </a:ext>
                    </a:extLst>
                  </pic:spPr>
                </pic:pic>
              </a:graphicData>
            </a:graphic>
          </wp:inline>
        </w:drawing>
      </w:r>
    </w:p>
    <w:p w14:paraId="72719983" w14:textId="13106499" w:rsidR="007E1A94" w:rsidRPr="007E1A94" w:rsidRDefault="00532C4F" w:rsidP="00FC2C45">
      <w:pPr>
        <w:pStyle w:val="Bijschrift"/>
        <w:jc w:val="right"/>
        <w:rPr>
          <w:lang w:val="en-NZ"/>
        </w:rPr>
      </w:pPr>
      <w:r w:rsidRPr="007E1A94">
        <w:rPr>
          <w:lang w:val="en-NZ"/>
        </w:rPr>
        <w:t xml:space="preserve">Figure </w:t>
      </w:r>
      <w:r w:rsidR="00964F16">
        <w:t>2</w:t>
      </w:r>
      <w:r w:rsidRPr="007E1A94">
        <w:rPr>
          <w:lang w:val="en-NZ"/>
        </w:rPr>
        <w:t>: Filters for project selection</w:t>
      </w:r>
    </w:p>
    <w:p w14:paraId="12888D15" w14:textId="72E41E7F" w:rsidR="00533BB2" w:rsidRDefault="00533BB2" w:rsidP="009175CE">
      <w:pPr>
        <w:pStyle w:val="Lijstalinea"/>
        <w:spacing w:after="0"/>
        <w:ind w:left="1494"/>
        <w:jc w:val="both"/>
        <w:rPr>
          <w:rFonts w:ascii="Arial" w:hAnsi="Arial" w:cs="Arial"/>
          <w:i/>
          <w:lang w:val="en-GB"/>
        </w:rPr>
      </w:pPr>
    </w:p>
    <w:p w14:paraId="24C28E4E" w14:textId="77777777" w:rsidR="00DA3EC1" w:rsidRDefault="00DA3EC1" w:rsidP="009175CE">
      <w:pPr>
        <w:pStyle w:val="Lijstalinea"/>
        <w:spacing w:after="0"/>
        <w:ind w:left="1494"/>
        <w:jc w:val="both"/>
        <w:rPr>
          <w:rFonts w:ascii="Arial" w:hAnsi="Arial" w:cs="Arial"/>
          <w:i/>
          <w:lang w:val="en-GB"/>
        </w:rPr>
      </w:pPr>
    </w:p>
    <w:p w14:paraId="7CDC7D95" w14:textId="7FD0BA1E" w:rsidR="00A80216" w:rsidRPr="00AA0EE7" w:rsidRDefault="00DA3EC1" w:rsidP="001952C7">
      <w:pPr>
        <w:pStyle w:val="Lijstalinea"/>
        <w:numPr>
          <w:ilvl w:val="0"/>
          <w:numId w:val="8"/>
        </w:numPr>
        <w:spacing w:after="0"/>
        <w:jc w:val="both"/>
        <w:rPr>
          <w:rFonts w:ascii="Arial" w:hAnsi="Arial" w:cs="Arial"/>
          <w:b/>
          <w:u w:val="single"/>
          <w:lang w:val="en-GB"/>
        </w:rPr>
      </w:pPr>
      <w:r w:rsidRPr="00411E70">
        <w:rPr>
          <w:rFonts w:ascii="Arial" w:hAnsi="Arial" w:cs="Arial"/>
          <w:lang w:val="en-GB"/>
        </w:rPr>
        <w:lastRenderedPageBreak/>
        <w:t xml:space="preserve">The fact sheets are scanned and evaluated by the Task Force. Based on this evaluation, an IPCEI narrative and objectives are defined. Criteria for projects responding to these objectives are derived. </w:t>
      </w:r>
      <w:r w:rsidR="00411E70">
        <w:rPr>
          <w:rFonts w:ascii="Arial" w:hAnsi="Arial" w:cs="Arial"/>
          <w:lang w:val="en-GB"/>
        </w:rPr>
        <w:t>T</w:t>
      </w:r>
      <w:r w:rsidR="00411E70" w:rsidRPr="00411E70">
        <w:rPr>
          <w:rFonts w:ascii="Arial" w:hAnsi="Arial" w:cs="Arial"/>
          <w:lang w:val="en-GB"/>
        </w:rPr>
        <w:t xml:space="preserve">he project </w:t>
      </w:r>
      <w:r w:rsidR="00BE4F3E">
        <w:rPr>
          <w:rFonts w:ascii="Arial" w:hAnsi="Arial" w:cs="Arial"/>
          <w:lang w:val="en-GB"/>
        </w:rPr>
        <w:t>landscape</w:t>
      </w:r>
      <w:r w:rsidR="00BE4F3E" w:rsidRPr="00411E70">
        <w:rPr>
          <w:rFonts w:ascii="Arial" w:hAnsi="Arial" w:cs="Arial"/>
          <w:lang w:val="en-GB"/>
        </w:rPr>
        <w:t xml:space="preserve"> </w:t>
      </w:r>
      <w:r w:rsidR="00411E70" w:rsidRPr="00411E70">
        <w:rPr>
          <w:rFonts w:ascii="Arial" w:hAnsi="Arial" w:cs="Arial"/>
          <w:lang w:val="en-GB"/>
        </w:rPr>
        <w:t xml:space="preserve">is evaluated </w:t>
      </w:r>
      <w:r w:rsidR="00411E70">
        <w:rPr>
          <w:rFonts w:ascii="Arial" w:hAnsi="Arial" w:cs="Arial"/>
          <w:lang w:val="en-GB"/>
        </w:rPr>
        <w:t xml:space="preserve">bottom-up </w:t>
      </w:r>
      <w:r w:rsidR="00411E70" w:rsidRPr="00411E70">
        <w:rPr>
          <w:rFonts w:ascii="Arial" w:hAnsi="Arial" w:cs="Arial"/>
          <w:lang w:val="en-GB"/>
        </w:rPr>
        <w:t xml:space="preserve">in order to identify </w:t>
      </w:r>
      <w:r w:rsidR="008224F1">
        <w:rPr>
          <w:rFonts w:ascii="Arial" w:hAnsi="Arial" w:cs="Arial"/>
          <w:lang w:val="en-GB"/>
        </w:rPr>
        <w:t xml:space="preserve">highly </w:t>
      </w:r>
      <w:r w:rsidR="00411E70" w:rsidRPr="00411E70">
        <w:rPr>
          <w:rFonts w:ascii="Arial" w:hAnsi="Arial" w:cs="Arial"/>
          <w:lang w:val="en-GB"/>
        </w:rPr>
        <w:t>mature projects fitting to the IPCEI r</w:t>
      </w:r>
      <w:r w:rsidR="00411E70">
        <w:rPr>
          <w:rFonts w:ascii="Arial" w:hAnsi="Arial" w:cs="Arial"/>
          <w:lang w:val="en-GB"/>
        </w:rPr>
        <w:t>equirements (</w:t>
      </w:r>
      <w:r w:rsidR="00A80216">
        <w:rPr>
          <w:rFonts w:ascii="Arial" w:hAnsi="Arial" w:cs="Arial"/>
          <w:lang w:val="en-GB"/>
        </w:rPr>
        <w:t xml:space="preserve">such as, but not limited to, </w:t>
      </w:r>
      <w:r w:rsidR="00411E70">
        <w:rPr>
          <w:rFonts w:ascii="Arial" w:hAnsi="Arial" w:cs="Arial"/>
          <w:lang w:val="en-GB"/>
        </w:rPr>
        <w:t xml:space="preserve">spill overs). </w:t>
      </w:r>
      <w:r w:rsidR="00AA0EE7" w:rsidRPr="00B72C4A">
        <w:rPr>
          <w:rFonts w:ascii="Arial" w:hAnsi="Arial" w:cs="Arial"/>
          <w:lang w:val="en-GB"/>
        </w:rPr>
        <w:t xml:space="preserve">See also </w:t>
      </w:r>
      <w:r w:rsidR="00AA0EE7" w:rsidRPr="00840414">
        <w:rPr>
          <w:rFonts w:ascii="Arial" w:hAnsi="Arial" w:cs="Arial"/>
          <w:color w:val="FF0000"/>
          <w:lang w:val="en-GB"/>
        </w:rPr>
        <w:t>No. 19</w:t>
      </w:r>
      <w:r w:rsidR="004B3902">
        <w:rPr>
          <w:rFonts w:ascii="Arial" w:hAnsi="Arial" w:cs="Arial"/>
          <w:color w:val="FF0000"/>
          <w:lang w:val="en-GB"/>
        </w:rPr>
        <w:t>.</w:t>
      </w:r>
      <w:r w:rsidR="00AA0EE7" w:rsidRPr="00840414">
        <w:rPr>
          <w:rFonts w:ascii="Arial" w:hAnsi="Arial" w:cs="Arial"/>
          <w:color w:val="FF0000"/>
          <w:lang w:val="en-GB"/>
        </w:rPr>
        <w:t xml:space="preserve"> </w:t>
      </w:r>
      <w:r w:rsidR="00AA0EE7" w:rsidRPr="00B72C4A">
        <w:rPr>
          <w:rFonts w:ascii="Arial" w:hAnsi="Arial" w:cs="Arial"/>
          <w:lang w:val="en-GB"/>
        </w:rPr>
        <w:t xml:space="preserve">on coordination with national final selection processes after the </w:t>
      </w:r>
      <w:r w:rsidR="00AA0EE7" w:rsidRPr="00F94104">
        <w:rPr>
          <w:rFonts w:ascii="Arial" w:hAnsi="Arial" w:cs="Arial"/>
          <w:lang w:val="en-GB"/>
        </w:rPr>
        <w:t>match-</w:t>
      </w:r>
      <w:r w:rsidR="00AA0EE7" w:rsidRPr="00B72C4A">
        <w:rPr>
          <w:rFonts w:ascii="Arial" w:hAnsi="Arial" w:cs="Arial"/>
          <w:lang w:val="en-GB"/>
        </w:rPr>
        <w:t xml:space="preserve">making. </w:t>
      </w:r>
    </w:p>
    <w:p w14:paraId="76EAA639" w14:textId="77777777" w:rsidR="00A80216" w:rsidRPr="00A80216" w:rsidRDefault="00A80216" w:rsidP="00A80216">
      <w:pPr>
        <w:pStyle w:val="Lijstalinea"/>
        <w:spacing w:after="0"/>
        <w:ind w:left="1636"/>
        <w:jc w:val="both"/>
        <w:rPr>
          <w:rFonts w:ascii="Arial" w:hAnsi="Arial" w:cs="Arial"/>
          <w:b/>
          <w:u w:val="single"/>
          <w:lang w:val="en-GB"/>
        </w:rPr>
      </w:pPr>
    </w:p>
    <w:p w14:paraId="3B7C7307" w14:textId="11D045E7" w:rsidR="00411E70" w:rsidRPr="00A80216" w:rsidRDefault="00A80216" w:rsidP="001952C7">
      <w:pPr>
        <w:pStyle w:val="Lijstalinea"/>
        <w:numPr>
          <w:ilvl w:val="0"/>
          <w:numId w:val="8"/>
        </w:numPr>
        <w:spacing w:after="0"/>
        <w:jc w:val="both"/>
        <w:rPr>
          <w:rFonts w:ascii="Arial" w:hAnsi="Arial" w:cs="Arial"/>
          <w:b/>
          <w:u w:val="single"/>
          <w:lang w:val="en-GB"/>
        </w:rPr>
      </w:pPr>
      <w:r w:rsidRPr="00A80216">
        <w:rPr>
          <w:rFonts w:ascii="Arial" w:hAnsi="Arial" w:cs="Arial"/>
          <w:lang w:val="en-GB"/>
        </w:rPr>
        <w:t>During the pre-engineering the Task Force also takes into consideration projects that are being collected by the ECH</w:t>
      </w:r>
      <w:r w:rsidR="00B72C4A">
        <w:rPr>
          <w:rFonts w:ascii="Arial" w:hAnsi="Arial" w:cs="Arial"/>
          <w:lang w:val="en-GB"/>
        </w:rPr>
        <w:t>2</w:t>
      </w:r>
      <w:r w:rsidRPr="00A80216">
        <w:rPr>
          <w:rFonts w:ascii="Arial" w:hAnsi="Arial" w:cs="Arial"/>
          <w:lang w:val="en-GB"/>
        </w:rPr>
        <w:t xml:space="preserve">A, which are expected to comply with IPCEI rules, in view of preparing </w:t>
      </w:r>
      <w:r>
        <w:rPr>
          <w:rFonts w:ascii="Arial" w:hAnsi="Arial" w:cs="Arial"/>
          <w:lang w:val="en-GB"/>
        </w:rPr>
        <w:t xml:space="preserve">the </w:t>
      </w:r>
      <w:r w:rsidRPr="00A80216">
        <w:rPr>
          <w:rFonts w:ascii="Arial" w:hAnsi="Arial" w:cs="Arial"/>
          <w:lang w:val="en-GB"/>
        </w:rPr>
        <w:t>project pipeline, in order to identify potential overlaps and synergies (see Figure 1).</w:t>
      </w:r>
    </w:p>
    <w:p w14:paraId="14E52D27" w14:textId="77777777" w:rsidR="00A80216" w:rsidRPr="00C75320" w:rsidRDefault="00A80216" w:rsidP="00C75320">
      <w:pPr>
        <w:spacing w:after="0"/>
        <w:jc w:val="both"/>
        <w:rPr>
          <w:rFonts w:ascii="Arial" w:hAnsi="Arial" w:cs="Arial"/>
          <w:b/>
          <w:u w:val="single"/>
          <w:lang w:val="en-GB"/>
        </w:rPr>
      </w:pPr>
    </w:p>
    <w:p w14:paraId="4F522D23" w14:textId="19D0FD8A" w:rsidR="00DA3EC1" w:rsidRPr="00DA3EC1" w:rsidRDefault="00DA3EC1" w:rsidP="00DA3EC1">
      <w:pPr>
        <w:pStyle w:val="Lijstalinea"/>
        <w:spacing w:after="0"/>
        <w:ind w:left="1636"/>
        <w:jc w:val="both"/>
        <w:rPr>
          <w:rFonts w:ascii="Arial" w:hAnsi="Arial" w:cs="Arial"/>
          <w:i/>
          <w:lang w:val="en-GB"/>
        </w:rPr>
      </w:pPr>
      <w:r>
        <w:rPr>
          <w:rFonts w:ascii="Arial" w:hAnsi="Arial" w:cs="Arial"/>
          <w:i/>
          <w:lang w:val="en-GB"/>
        </w:rPr>
        <w:t>B2match</w:t>
      </w:r>
      <w:r w:rsidR="00B95626">
        <w:rPr>
          <w:rFonts w:ascii="Arial" w:hAnsi="Arial" w:cs="Arial"/>
          <w:i/>
          <w:lang w:val="en-GB"/>
        </w:rPr>
        <w:t>, b2b sessions</w:t>
      </w:r>
      <w:r w:rsidR="00314FB1">
        <w:rPr>
          <w:rFonts w:ascii="Arial" w:hAnsi="Arial" w:cs="Arial"/>
          <w:i/>
          <w:lang w:val="en-GB"/>
        </w:rPr>
        <w:t xml:space="preserve"> and C</w:t>
      </w:r>
      <w:r>
        <w:rPr>
          <w:rFonts w:ascii="Arial" w:hAnsi="Arial" w:cs="Arial"/>
          <w:i/>
          <w:lang w:val="en-GB"/>
        </w:rPr>
        <w:t>hallenge sessions</w:t>
      </w:r>
    </w:p>
    <w:p w14:paraId="642EDE96" w14:textId="77777777" w:rsidR="009175CE" w:rsidRPr="00214DA9" w:rsidRDefault="009175CE" w:rsidP="005E3366">
      <w:pPr>
        <w:spacing w:after="0"/>
        <w:jc w:val="both"/>
        <w:rPr>
          <w:rFonts w:ascii="Arial" w:hAnsi="Arial" w:cs="Arial"/>
          <w:b/>
          <w:u w:val="single"/>
          <w:lang w:val="en-GB"/>
        </w:rPr>
      </w:pPr>
    </w:p>
    <w:p w14:paraId="0A8A4C15" w14:textId="76B94E1D" w:rsidR="00530555" w:rsidRPr="00A35113" w:rsidRDefault="00693ECC" w:rsidP="001952C7">
      <w:pPr>
        <w:pStyle w:val="Lijstalinea"/>
        <w:numPr>
          <w:ilvl w:val="0"/>
          <w:numId w:val="8"/>
        </w:numPr>
        <w:spacing w:after="0"/>
        <w:jc w:val="both"/>
        <w:rPr>
          <w:rFonts w:ascii="Arial" w:hAnsi="Arial" w:cs="Arial"/>
          <w:b/>
          <w:u w:val="single"/>
          <w:lang w:val="en-GB"/>
        </w:rPr>
      </w:pPr>
      <w:r>
        <w:rPr>
          <w:rFonts w:ascii="Arial" w:hAnsi="Arial" w:cs="Arial"/>
          <w:lang w:val="en-GB"/>
        </w:rPr>
        <w:t>After registration on EU Survey for the pre-engineering phase, t</w:t>
      </w:r>
      <w:r w:rsidR="006B5AB2" w:rsidRPr="009175CE">
        <w:rPr>
          <w:rFonts w:ascii="Arial" w:hAnsi="Arial" w:cs="Arial"/>
          <w:lang w:val="en-GB"/>
        </w:rPr>
        <w:t xml:space="preserve">he match-making </w:t>
      </w:r>
      <w:r w:rsidR="0092682A">
        <w:rPr>
          <w:rFonts w:ascii="Arial" w:hAnsi="Arial" w:cs="Arial"/>
          <w:lang w:val="en-GB"/>
        </w:rPr>
        <w:t>sessions and B2Bs</w:t>
      </w:r>
      <w:r w:rsidR="0092682A" w:rsidRPr="009175CE">
        <w:rPr>
          <w:rFonts w:ascii="Arial" w:hAnsi="Arial" w:cs="Arial"/>
          <w:lang w:val="en-GB"/>
        </w:rPr>
        <w:t xml:space="preserve"> </w:t>
      </w:r>
      <w:r w:rsidR="006B5AB2" w:rsidRPr="009175CE">
        <w:rPr>
          <w:rFonts w:ascii="Arial" w:hAnsi="Arial" w:cs="Arial"/>
          <w:lang w:val="en-GB"/>
        </w:rPr>
        <w:t xml:space="preserve">itself will be conducted on the event platform B2match. </w:t>
      </w:r>
      <w:r w:rsidR="0096352C">
        <w:rPr>
          <w:rFonts w:ascii="Arial" w:hAnsi="Arial" w:cs="Arial"/>
          <w:lang w:val="en-GB"/>
        </w:rPr>
        <w:t xml:space="preserve">Company registration </w:t>
      </w:r>
      <w:r w:rsidR="001B6265">
        <w:rPr>
          <w:rFonts w:ascii="Arial" w:hAnsi="Arial" w:cs="Arial"/>
          <w:lang w:val="en-GB"/>
        </w:rPr>
        <w:t xml:space="preserve">on </w:t>
      </w:r>
      <w:r w:rsidR="0096352C">
        <w:rPr>
          <w:rFonts w:ascii="Arial" w:hAnsi="Arial" w:cs="Arial"/>
          <w:lang w:val="en-GB"/>
        </w:rPr>
        <w:t>b2match will be possible</w:t>
      </w:r>
      <w:r w:rsidR="00B95626">
        <w:rPr>
          <w:rFonts w:ascii="Arial" w:hAnsi="Arial" w:cs="Arial"/>
          <w:lang w:val="en-GB"/>
        </w:rPr>
        <w:t xml:space="preserve"> </w:t>
      </w:r>
      <w:r w:rsidR="0096352C">
        <w:rPr>
          <w:rFonts w:ascii="Arial" w:hAnsi="Arial" w:cs="Arial"/>
          <w:lang w:val="en-GB"/>
        </w:rPr>
        <w:t xml:space="preserve">from </w:t>
      </w:r>
      <w:r w:rsidR="0096352C" w:rsidRPr="002E7C50">
        <w:rPr>
          <w:rFonts w:ascii="Arial" w:hAnsi="Arial" w:cs="Arial"/>
          <w:color w:val="FF0000"/>
          <w:lang w:val="en-GB"/>
        </w:rPr>
        <w:t>May 10</w:t>
      </w:r>
      <w:r w:rsidR="0096352C" w:rsidRPr="002E7C50">
        <w:rPr>
          <w:rFonts w:ascii="Arial" w:hAnsi="Arial" w:cs="Arial"/>
          <w:color w:val="FF0000"/>
          <w:vertAlign w:val="superscript"/>
          <w:lang w:val="en-GB"/>
        </w:rPr>
        <w:t>th</w:t>
      </w:r>
      <w:r w:rsidR="0096352C" w:rsidRPr="002E7C50">
        <w:rPr>
          <w:rFonts w:ascii="Arial" w:hAnsi="Arial" w:cs="Arial"/>
          <w:color w:val="FF0000"/>
          <w:lang w:val="en-GB"/>
        </w:rPr>
        <w:t xml:space="preserve"> 2021</w:t>
      </w:r>
      <w:r w:rsidR="0096352C">
        <w:rPr>
          <w:rFonts w:ascii="Arial" w:hAnsi="Arial" w:cs="Arial"/>
          <w:lang w:val="en-GB"/>
        </w:rPr>
        <w:t>.</w:t>
      </w:r>
    </w:p>
    <w:p w14:paraId="6183B98D" w14:textId="5F7FF4C5" w:rsidR="008E7C1B" w:rsidRPr="00A35113" w:rsidRDefault="008E7C1B" w:rsidP="00A35113">
      <w:pPr>
        <w:pStyle w:val="Lijstalinea"/>
        <w:spacing w:after="0"/>
        <w:ind w:left="1636"/>
        <w:jc w:val="both"/>
        <w:rPr>
          <w:rFonts w:ascii="Arial" w:hAnsi="Arial" w:cs="Arial"/>
          <w:b/>
          <w:u w:val="single"/>
          <w:lang w:val="en-GB"/>
        </w:rPr>
      </w:pPr>
    </w:p>
    <w:p w14:paraId="6E768782" w14:textId="046E9AE2" w:rsidR="00530555" w:rsidRPr="00A35113" w:rsidRDefault="00530555" w:rsidP="00530555">
      <w:pPr>
        <w:pStyle w:val="Lijstalinea"/>
        <w:numPr>
          <w:ilvl w:val="0"/>
          <w:numId w:val="8"/>
        </w:numPr>
        <w:spacing w:after="0"/>
        <w:jc w:val="both"/>
        <w:rPr>
          <w:rFonts w:ascii="Arial" w:hAnsi="Arial" w:cs="Arial"/>
          <w:b/>
          <w:u w:val="single"/>
          <w:lang w:val="en-GB"/>
        </w:rPr>
      </w:pPr>
      <w:r>
        <w:rPr>
          <w:rFonts w:ascii="Arial" w:hAnsi="Arial" w:cs="Arial"/>
          <w:lang w:val="en-GB"/>
        </w:rPr>
        <w:t>The Coordinator forwards B2match registration links for all three participant types (direct, indirect, undecided) to participating states. The states can then forward the respective links to companies depending on</w:t>
      </w:r>
      <w:r w:rsidRPr="00E92EC1">
        <w:rPr>
          <w:rFonts w:ascii="Arial" w:hAnsi="Arial" w:cs="Arial"/>
          <w:lang w:val="en-GB"/>
        </w:rPr>
        <w:t xml:space="preserve"> whether they are </w:t>
      </w:r>
      <w:r>
        <w:rPr>
          <w:rFonts w:ascii="Arial" w:hAnsi="Arial" w:cs="Arial"/>
          <w:lang w:val="en-GB"/>
        </w:rPr>
        <w:t>intending</w:t>
      </w:r>
      <w:r w:rsidRPr="00E92EC1">
        <w:rPr>
          <w:rFonts w:ascii="Arial" w:hAnsi="Arial" w:cs="Arial"/>
          <w:lang w:val="en-GB"/>
        </w:rPr>
        <w:t xml:space="preserve"> to be a direct or an indirect partner or whether that is unclear yet. This categorization only serves as a way to structure the match-makin</w:t>
      </w:r>
      <w:r>
        <w:rPr>
          <w:rFonts w:ascii="Arial" w:hAnsi="Arial" w:cs="Arial"/>
          <w:lang w:val="en-GB"/>
        </w:rPr>
        <w:t>g procedure and can be changed.</w:t>
      </w:r>
      <w:r w:rsidR="00BE4F3E">
        <w:rPr>
          <w:rFonts w:ascii="Arial" w:hAnsi="Arial" w:cs="Arial"/>
          <w:lang w:val="en-GB"/>
        </w:rPr>
        <w:t xml:space="preserve"> All companies registering to B2match have </w:t>
      </w:r>
      <w:r w:rsidR="00F94104">
        <w:rPr>
          <w:rFonts w:ascii="Arial" w:hAnsi="Arial" w:cs="Arial"/>
          <w:lang w:val="en-GB"/>
        </w:rPr>
        <w:t>to submit</w:t>
      </w:r>
      <w:r w:rsidR="00BE4F3E">
        <w:rPr>
          <w:rFonts w:ascii="Arial" w:hAnsi="Arial" w:cs="Arial"/>
          <w:lang w:val="en-GB"/>
        </w:rPr>
        <w:t xml:space="preserve"> a project fact sheet (</w:t>
      </w:r>
      <w:r w:rsidR="00BE4F3E" w:rsidRPr="00F94104">
        <w:rPr>
          <w:rFonts w:ascii="Arial" w:hAnsi="Arial" w:cs="Arial"/>
          <w:color w:val="FF0000"/>
          <w:lang w:val="en-GB"/>
        </w:rPr>
        <w:t>see No. 9.</w:t>
      </w:r>
      <w:r w:rsidR="00BE4F3E">
        <w:rPr>
          <w:rFonts w:ascii="Arial" w:hAnsi="Arial" w:cs="Arial"/>
          <w:lang w:val="en-GB"/>
        </w:rPr>
        <w:t>).</w:t>
      </w:r>
    </w:p>
    <w:p w14:paraId="4B055882" w14:textId="77777777" w:rsidR="008E7C1B" w:rsidRPr="00A35113" w:rsidRDefault="008E7C1B" w:rsidP="00A35113">
      <w:pPr>
        <w:pStyle w:val="Lijstalinea"/>
        <w:spacing w:after="0"/>
        <w:ind w:left="1636"/>
        <w:jc w:val="both"/>
        <w:rPr>
          <w:rFonts w:ascii="Arial" w:hAnsi="Arial" w:cs="Arial"/>
          <w:b/>
          <w:u w:val="single"/>
          <w:lang w:val="en-GB"/>
        </w:rPr>
      </w:pPr>
    </w:p>
    <w:p w14:paraId="751E0FC2" w14:textId="119C1122" w:rsidR="009175CE" w:rsidRPr="009175CE" w:rsidRDefault="00B95626" w:rsidP="001952C7">
      <w:pPr>
        <w:pStyle w:val="Lijstalinea"/>
        <w:numPr>
          <w:ilvl w:val="0"/>
          <w:numId w:val="8"/>
        </w:numPr>
        <w:spacing w:after="0"/>
        <w:jc w:val="both"/>
        <w:rPr>
          <w:rFonts w:ascii="Arial" w:hAnsi="Arial" w:cs="Arial"/>
          <w:b/>
          <w:u w:val="single"/>
          <w:lang w:val="en-GB"/>
        </w:rPr>
      </w:pPr>
      <w:r>
        <w:rPr>
          <w:rFonts w:ascii="Arial" w:hAnsi="Arial" w:cs="Arial"/>
          <w:lang w:val="en-GB"/>
        </w:rPr>
        <w:t xml:space="preserve"> B2match will provide </w:t>
      </w:r>
      <w:r w:rsidR="004C69AC">
        <w:rPr>
          <w:rFonts w:ascii="Arial" w:hAnsi="Arial" w:cs="Arial"/>
          <w:lang w:val="en-GB"/>
        </w:rPr>
        <w:t>a</w:t>
      </w:r>
      <w:r>
        <w:rPr>
          <w:rFonts w:ascii="Arial" w:hAnsi="Arial" w:cs="Arial"/>
          <w:lang w:val="en-GB"/>
        </w:rPr>
        <w:t xml:space="preserve"> platform for companies to engage in 1:1 match-making sessions (b2b sessions</w:t>
      </w:r>
      <w:r w:rsidR="004C69AC">
        <w:rPr>
          <w:rFonts w:ascii="Arial" w:hAnsi="Arial" w:cs="Arial"/>
          <w:lang w:val="en-GB"/>
        </w:rPr>
        <w:t>) giving</w:t>
      </w:r>
      <w:r>
        <w:rPr>
          <w:rFonts w:ascii="Arial" w:hAnsi="Arial" w:cs="Arial"/>
          <w:lang w:val="en-GB"/>
        </w:rPr>
        <w:t xml:space="preserve"> them the opportunity to communicate directly on potential cooperation models</w:t>
      </w:r>
      <w:r w:rsidR="004C69AC">
        <w:rPr>
          <w:rFonts w:ascii="Arial" w:hAnsi="Arial" w:cs="Arial"/>
          <w:lang w:val="en-GB"/>
        </w:rPr>
        <w:t xml:space="preserve"> and lessons learned</w:t>
      </w:r>
      <w:r>
        <w:rPr>
          <w:rFonts w:ascii="Arial" w:hAnsi="Arial" w:cs="Arial"/>
          <w:lang w:val="en-GB"/>
        </w:rPr>
        <w:t>. Such a format for exchange is valuable both for direct and indirect partners. It helps direct partners to establish the partnerships that form the backbone of an IPCEI.</w:t>
      </w:r>
      <w:r w:rsidR="00001BA8">
        <w:rPr>
          <w:rFonts w:ascii="Arial" w:hAnsi="Arial" w:cs="Arial"/>
          <w:lang w:val="en-GB"/>
        </w:rPr>
        <w:t xml:space="preserve"> Indirect partners may establish links to direct partners.</w:t>
      </w:r>
    </w:p>
    <w:p w14:paraId="1D4F7B91" w14:textId="77777777" w:rsidR="009175CE" w:rsidRPr="009175CE" w:rsidRDefault="009175CE" w:rsidP="005E3366">
      <w:pPr>
        <w:pStyle w:val="Lijstalinea"/>
        <w:spacing w:after="0"/>
        <w:ind w:left="1494"/>
        <w:jc w:val="both"/>
        <w:rPr>
          <w:rFonts w:ascii="Arial" w:hAnsi="Arial" w:cs="Arial"/>
          <w:b/>
          <w:u w:val="single"/>
          <w:lang w:val="en-GB"/>
        </w:rPr>
      </w:pPr>
    </w:p>
    <w:p w14:paraId="0D442758" w14:textId="589BFA80" w:rsidR="009175CE" w:rsidRPr="009175CE" w:rsidRDefault="006B5AB2" w:rsidP="001952C7">
      <w:pPr>
        <w:pStyle w:val="Lijstalinea"/>
        <w:numPr>
          <w:ilvl w:val="0"/>
          <w:numId w:val="8"/>
        </w:numPr>
        <w:spacing w:after="0"/>
        <w:jc w:val="both"/>
        <w:rPr>
          <w:rFonts w:ascii="Arial" w:hAnsi="Arial" w:cs="Arial"/>
          <w:b/>
          <w:u w:val="single"/>
          <w:lang w:val="en-GB"/>
        </w:rPr>
      </w:pPr>
      <w:r w:rsidRPr="009175CE">
        <w:rPr>
          <w:rFonts w:ascii="Arial" w:hAnsi="Arial" w:cs="Arial"/>
          <w:lang w:val="en-GB"/>
        </w:rPr>
        <w:t xml:space="preserve">On B2match, companies will compile a profile in which they can outline the focus of their project(s) and their match-making needs. Company representatives may browse the other participants and engage in virtual b2b match-making sessions. Companies have permanent access to B2match and may engage in b2b sessions at any time. </w:t>
      </w:r>
      <w:r w:rsidR="0054143F">
        <w:rPr>
          <w:rFonts w:ascii="Arial" w:hAnsi="Arial" w:cs="Arial"/>
          <w:lang w:val="en-GB"/>
        </w:rPr>
        <w:t xml:space="preserve">Additionally, companies have access to a ‘marketplace’ where they can </w:t>
      </w:r>
      <w:r w:rsidR="00001BA8">
        <w:rPr>
          <w:rFonts w:ascii="Arial" w:hAnsi="Arial" w:cs="Arial"/>
          <w:lang w:val="en-GB"/>
        </w:rPr>
        <w:t>display</w:t>
      </w:r>
      <w:r w:rsidR="0054143F">
        <w:rPr>
          <w:rFonts w:ascii="Arial" w:hAnsi="Arial" w:cs="Arial"/>
          <w:lang w:val="en-GB"/>
        </w:rPr>
        <w:t xml:space="preserve"> their project in a </w:t>
      </w:r>
      <w:r w:rsidR="004C69AC">
        <w:rPr>
          <w:rFonts w:ascii="Arial" w:hAnsi="Arial" w:cs="Arial"/>
          <w:lang w:val="en-GB"/>
        </w:rPr>
        <w:t>blog, which</w:t>
      </w:r>
      <w:r w:rsidR="0054143F">
        <w:rPr>
          <w:rFonts w:ascii="Arial" w:hAnsi="Arial" w:cs="Arial"/>
          <w:lang w:val="en-GB"/>
        </w:rPr>
        <w:t xml:space="preserve"> other companies may browse.</w:t>
      </w:r>
    </w:p>
    <w:p w14:paraId="0AA62141" w14:textId="77777777" w:rsidR="009175CE" w:rsidRPr="009175CE" w:rsidRDefault="009175CE" w:rsidP="009175CE">
      <w:pPr>
        <w:pStyle w:val="Lijstalinea"/>
        <w:spacing w:after="0"/>
        <w:ind w:left="1494"/>
        <w:jc w:val="both"/>
        <w:rPr>
          <w:rFonts w:ascii="Arial" w:hAnsi="Arial" w:cs="Arial"/>
          <w:b/>
          <w:u w:val="single"/>
          <w:lang w:val="en-GB"/>
        </w:rPr>
      </w:pPr>
    </w:p>
    <w:p w14:paraId="22567CA1" w14:textId="7383B9B5" w:rsidR="009175CE" w:rsidRPr="009175CE" w:rsidRDefault="006B5AB2" w:rsidP="001952C7">
      <w:pPr>
        <w:pStyle w:val="Lijstalinea"/>
        <w:numPr>
          <w:ilvl w:val="0"/>
          <w:numId w:val="8"/>
        </w:numPr>
        <w:spacing w:after="0"/>
        <w:jc w:val="both"/>
        <w:rPr>
          <w:rFonts w:ascii="Arial" w:hAnsi="Arial" w:cs="Arial"/>
          <w:b/>
          <w:u w:val="single"/>
          <w:lang w:val="en-GB"/>
        </w:rPr>
      </w:pPr>
      <w:r w:rsidRPr="009175CE">
        <w:rPr>
          <w:rFonts w:ascii="Arial" w:hAnsi="Arial" w:cs="Arial"/>
          <w:lang w:val="en-GB"/>
        </w:rPr>
        <w:t xml:space="preserve">A Kick-off Event to which </w:t>
      </w:r>
      <w:r w:rsidRPr="00B72C4A">
        <w:rPr>
          <w:rFonts w:ascii="Arial" w:hAnsi="Arial" w:cs="Arial"/>
          <w:lang w:val="en-GB"/>
        </w:rPr>
        <w:t xml:space="preserve">all </w:t>
      </w:r>
      <w:r w:rsidR="00094BCF" w:rsidRPr="00B72C4A">
        <w:rPr>
          <w:rFonts w:ascii="Arial" w:hAnsi="Arial" w:cs="Arial"/>
          <w:lang w:val="en-GB"/>
        </w:rPr>
        <w:t>already</w:t>
      </w:r>
      <w:r w:rsidR="00687BBB" w:rsidRPr="00B72C4A">
        <w:rPr>
          <w:rFonts w:ascii="Arial" w:hAnsi="Arial" w:cs="Arial"/>
          <w:b/>
          <w:u w:val="single"/>
          <w:lang w:val="en-GB"/>
        </w:rPr>
        <w:t xml:space="preserve"> </w:t>
      </w:r>
      <w:r w:rsidRPr="00B72C4A">
        <w:rPr>
          <w:rFonts w:ascii="Arial" w:hAnsi="Arial" w:cs="Arial"/>
          <w:lang w:val="en-GB"/>
        </w:rPr>
        <w:t xml:space="preserve">participating companies are invited </w:t>
      </w:r>
      <w:r w:rsidR="00533BB2" w:rsidRPr="00B72C4A">
        <w:rPr>
          <w:rFonts w:ascii="Arial" w:hAnsi="Arial" w:cs="Arial"/>
          <w:lang w:val="en-GB"/>
        </w:rPr>
        <w:t>is planned to be held</w:t>
      </w:r>
      <w:r w:rsidRPr="00B72C4A">
        <w:rPr>
          <w:rFonts w:ascii="Arial" w:hAnsi="Arial" w:cs="Arial"/>
          <w:lang w:val="en-GB"/>
        </w:rPr>
        <w:t xml:space="preserve"> on B2match</w:t>
      </w:r>
      <w:r w:rsidR="0096352C" w:rsidRPr="00B72C4A">
        <w:rPr>
          <w:rFonts w:ascii="Arial" w:hAnsi="Arial" w:cs="Arial"/>
          <w:lang w:val="en-GB"/>
        </w:rPr>
        <w:t xml:space="preserve"> </w:t>
      </w:r>
      <w:r w:rsidR="002E7C50" w:rsidRPr="00B72C4A">
        <w:rPr>
          <w:rFonts w:ascii="Arial" w:hAnsi="Arial" w:cs="Arial"/>
          <w:lang w:val="en-GB"/>
        </w:rPr>
        <w:t xml:space="preserve">on </w:t>
      </w:r>
      <w:r w:rsidR="0096352C" w:rsidRPr="00840414">
        <w:rPr>
          <w:rFonts w:ascii="Arial" w:hAnsi="Arial" w:cs="Arial"/>
          <w:color w:val="FF0000"/>
          <w:lang w:val="en-GB"/>
        </w:rPr>
        <w:t xml:space="preserve">May </w:t>
      </w:r>
      <w:r w:rsidR="007A5AA3" w:rsidRPr="00840414">
        <w:rPr>
          <w:rFonts w:ascii="Arial" w:hAnsi="Arial" w:cs="Arial"/>
          <w:color w:val="FF0000"/>
          <w:lang w:val="en-GB"/>
        </w:rPr>
        <w:t>25</w:t>
      </w:r>
      <w:r w:rsidR="007A5AA3" w:rsidRPr="00840414">
        <w:rPr>
          <w:rFonts w:ascii="Arial" w:hAnsi="Arial" w:cs="Arial"/>
          <w:color w:val="FF0000"/>
          <w:vertAlign w:val="superscript"/>
          <w:lang w:val="en-GB"/>
        </w:rPr>
        <w:t>th</w:t>
      </w:r>
      <w:r w:rsidR="007A5AA3" w:rsidRPr="00840414">
        <w:rPr>
          <w:rFonts w:ascii="Arial" w:hAnsi="Arial" w:cs="Arial"/>
          <w:color w:val="FF0000"/>
          <w:lang w:val="en-GB"/>
        </w:rPr>
        <w:t xml:space="preserve"> </w:t>
      </w:r>
      <w:r w:rsidR="0096352C" w:rsidRPr="00840414">
        <w:rPr>
          <w:rFonts w:ascii="Arial" w:hAnsi="Arial" w:cs="Arial"/>
          <w:color w:val="FF0000"/>
          <w:lang w:val="en-GB"/>
        </w:rPr>
        <w:t>2021</w:t>
      </w:r>
      <w:r w:rsidRPr="00B72C4A">
        <w:rPr>
          <w:rFonts w:ascii="Arial" w:hAnsi="Arial" w:cs="Arial"/>
          <w:lang w:val="en-GB"/>
        </w:rPr>
        <w:t xml:space="preserve">. In this </w:t>
      </w:r>
      <w:r w:rsidRPr="009175CE">
        <w:rPr>
          <w:rFonts w:ascii="Arial" w:hAnsi="Arial" w:cs="Arial"/>
          <w:lang w:val="en-GB"/>
        </w:rPr>
        <w:t>streaming event, the Coordinator and potentially other Member State representatives will welcome the companies and explain the match-making procedure and the desired outcomes.</w:t>
      </w:r>
      <w:r w:rsidR="0054143F">
        <w:rPr>
          <w:rFonts w:ascii="Arial" w:hAnsi="Arial" w:cs="Arial"/>
          <w:lang w:val="en-GB"/>
        </w:rPr>
        <w:t xml:space="preserve"> All </w:t>
      </w:r>
      <w:r w:rsidR="00001BA8">
        <w:rPr>
          <w:rFonts w:ascii="Arial" w:hAnsi="Arial" w:cs="Arial"/>
          <w:lang w:val="en-GB"/>
        </w:rPr>
        <w:t>participants which are invited by the participating states to B2match</w:t>
      </w:r>
      <w:r w:rsidR="0054143F">
        <w:rPr>
          <w:rFonts w:ascii="Arial" w:hAnsi="Arial" w:cs="Arial"/>
          <w:lang w:val="en-GB"/>
        </w:rPr>
        <w:t xml:space="preserve"> may participate in the Kick-off Event.</w:t>
      </w:r>
    </w:p>
    <w:p w14:paraId="6AF7E0F0" w14:textId="77777777" w:rsidR="009175CE" w:rsidRPr="009175CE" w:rsidRDefault="009175CE" w:rsidP="009175CE">
      <w:pPr>
        <w:pStyle w:val="Lijstalinea"/>
        <w:spacing w:after="0"/>
        <w:ind w:left="1494"/>
        <w:jc w:val="both"/>
        <w:rPr>
          <w:rFonts w:ascii="Arial" w:hAnsi="Arial" w:cs="Arial"/>
          <w:b/>
          <w:u w:val="single"/>
          <w:lang w:val="en-GB"/>
        </w:rPr>
      </w:pPr>
    </w:p>
    <w:p w14:paraId="58A92176" w14:textId="0A8BD327" w:rsidR="006B5AB2" w:rsidRPr="007236AA" w:rsidRDefault="00001BA8" w:rsidP="00404BAF">
      <w:pPr>
        <w:pStyle w:val="Lijstalinea"/>
        <w:numPr>
          <w:ilvl w:val="0"/>
          <w:numId w:val="8"/>
        </w:numPr>
        <w:spacing w:after="0"/>
        <w:jc w:val="both"/>
        <w:rPr>
          <w:rFonts w:ascii="Arial" w:hAnsi="Arial" w:cs="Arial"/>
          <w:b/>
          <w:u w:val="single"/>
          <w:lang w:val="en-GB"/>
        </w:rPr>
      </w:pPr>
      <w:r>
        <w:rPr>
          <w:rFonts w:ascii="Arial" w:hAnsi="Arial" w:cs="Arial"/>
          <w:lang w:val="en-GB"/>
        </w:rPr>
        <w:lastRenderedPageBreak/>
        <w:t>A</w:t>
      </w:r>
      <w:r w:rsidRPr="009175CE">
        <w:rPr>
          <w:rFonts w:ascii="Arial" w:hAnsi="Arial" w:cs="Arial"/>
          <w:lang w:val="en-GB"/>
        </w:rPr>
        <w:t xml:space="preserve"> </w:t>
      </w:r>
      <w:r w:rsidR="00A80216" w:rsidRPr="009175CE">
        <w:rPr>
          <w:rFonts w:ascii="Arial" w:hAnsi="Arial" w:cs="Arial"/>
          <w:lang w:val="en-GB"/>
        </w:rPr>
        <w:t xml:space="preserve">core element of the match-making procedure are so-called Challenge Sessions in which companies from </w:t>
      </w:r>
      <w:r w:rsidR="004C69AC">
        <w:rPr>
          <w:rFonts w:ascii="Arial" w:hAnsi="Arial" w:cs="Arial"/>
          <w:lang w:val="en-GB"/>
        </w:rPr>
        <w:t>across the value chain</w:t>
      </w:r>
      <w:r w:rsidR="00A80216" w:rsidRPr="009175CE">
        <w:rPr>
          <w:rFonts w:ascii="Arial" w:hAnsi="Arial" w:cs="Arial"/>
          <w:lang w:val="en-GB"/>
        </w:rPr>
        <w:t xml:space="preserve"> formulate their contributions to solve certain challenges deriving from the IPCEI objectives </w:t>
      </w:r>
      <w:r w:rsidR="00A80216">
        <w:rPr>
          <w:rFonts w:ascii="Arial" w:hAnsi="Arial" w:cs="Arial"/>
          <w:lang w:val="en-GB"/>
        </w:rPr>
        <w:t xml:space="preserve">and requirements </w:t>
      </w:r>
      <w:r w:rsidR="00A80216" w:rsidRPr="009175CE">
        <w:rPr>
          <w:rFonts w:ascii="Arial" w:hAnsi="Arial" w:cs="Arial"/>
          <w:lang w:val="en-GB"/>
        </w:rPr>
        <w:t>(</w:t>
      </w:r>
      <w:r w:rsidR="00A80216">
        <w:rPr>
          <w:rFonts w:ascii="Arial" w:hAnsi="Arial" w:cs="Arial"/>
          <w:lang w:val="en-GB"/>
        </w:rPr>
        <w:t>such as, but not limited to</w:t>
      </w:r>
      <w:r w:rsidR="00687BBB">
        <w:rPr>
          <w:rFonts w:ascii="Arial" w:hAnsi="Arial" w:cs="Arial"/>
          <w:lang w:val="en-GB"/>
        </w:rPr>
        <w:t>,</w:t>
      </w:r>
      <w:r w:rsidR="00A80216">
        <w:rPr>
          <w:rFonts w:ascii="Arial" w:hAnsi="Arial" w:cs="Arial"/>
          <w:lang w:val="en-GB"/>
        </w:rPr>
        <w:t xml:space="preserve"> contributing to the EU strategies, how to enable spill overs, etc.</w:t>
      </w:r>
      <w:r w:rsidR="00A80216" w:rsidRPr="009175CE">
        <w:rPr>
          <w:rFonts w:ascii="Arial" w:hAnsi="Arial" w:cs="Arial"/>
          <w:lang w:val="en-GB"/>
        </w:rPr>
        <w:t xml:space="preserve">). Challenge Sessions </w:t>
      </w:r>
      <w:r w:rsidR="00A80216">
        <w:rPr>
          <w:rFonts w:ascii="Arial" w:hAnsi="Arial" w:cs="Arial"/>
          <w:lang w:val="en-GB"/>
        </w:rPr>
        <w:t>can only be attended on invitation by the Coordinator</w:t>
      </w:r>
      <w:r w:rsidR="00A80216" w:rsidRPr="009175CE">
        <w:rPr>
          <w:rFonts w:ascii="Arial" w:hAnsi="Arial" w:cs="Arial"/>
          <w:lang w:val="en-GB"/>
        </w:rPr>
        <w:t>. The Coordinator invites companies</w:t>
      </w:r>
      <w:r w:rsidR="00A80216">
        <w:rPr>
          <w:rFonts w:ascii="Arial" w:hAnsi="Arial" w:cs="Arial"/>
          <w:lang w:val="en-GB"/>
        </w:rPr>
        <w:t xml:space="preserve"> which are direct partners</w:t>
      </w:r>
      <w:r w:rsidR="00A80216" w:rsidRPr="009175CE">
        <w:rPr>
          <w:rFonts w:ascii="Arial" w:hAnsi="Arial" w:cs="Arial"/>
          <w:lang w:val="en-GB"/>
        </w:rPr>
        <w:t xml:space="preserve"> based on the allocation from the pre-engineering procedure. </w:t>
      </w:r>
      <w:r w:rsidR="00A80216">
        <w:rPr>
          <w:rFonts w:ascii="Arial" w:hAnsi="Arial" w:cs="Arial"/>
          <w:lang w:val="en-GB"/>
        </w:rPr>
        <w:t>Members of the Task Force and DG GROW may participate at the meetings.</w:t>
      </w:r>
    </w:p>
    <w:p w14:paraId="7A05109C" w14:textId="77777777" w:rsidR="00533BB2" w:rsidRPr="00533BB2" w:rsidRDefault="00533BB2" w:rsidP="00533BB2">
      <w:pPr>
        <w:pStyle w:val="Lijstalinea"/>
        <w:spacing w:line="256" w:lineRule="auto"/>
        <w:ind w:left="1494"/>
        <w:jc w:val="both"/>
        <w:rPr>
          <w:rFonts w:ascii="Arial" w:hAnsi="Arial" w:cs="Arial"/>
          <w:b/>
          <w:u w:val="single"/>
          <w:lang w:val="en-GB"/>
        </w:rPr>
      </w:pPr>
    </w:p>
    <w:p w14:paraId="544F7255" w14:textId="2016513B" w:rsidR="00595F55" w:rsidRDefault="00F37677" w:rsidP="00595F55">
      <w:pPr>
        <w:pStyle w:val="Lijstalinea"/>
        <w:numPr>
          <w:ilvl w:val="0"/>
          <w:numId w:val="8"/>
        </w:numPr>
        <w:spacing w:line="256" w:lineRule="auto"/>
        <w:jc w:val="both"/>
        <w:rPr>
          <w:rFonts w:ascii="Arial" w:hAnsi="Arial" w:cs="Arial"/>
          <w:lang w:val="en-GB"/>
        </w:rPr>
      </w:pPr>
      <w:r>
        <w:rPr>
          <w:rFonts w:ascii="Arial" w:hAnsi="Arial" w:cs="Arial"/>
          <w:lang w:val="en-GB"/>
        </w:rPr>
        <w:t xml:space="preserve">Based on the outcome of the Challenge Sessions and on the IPCEI narrative, the Task Force </w:t>
      </w:r>
      <w:r w:rsidR="00B72C4A">
        <w:rPr>
          <w:rFonts w:ascii="Arial" w:hAnsi="Arial" w:cs="Arial"/>
          <w:lang w:val="en-GB"/>
        </w:rPr>
        <w:t xml:space="preserve">proposes </w:t>
      </w:r>
      <w:r>
        <w:rPr>
          <w:rFonts w:ascii="Arial" w:hAnsi="Arial" w:cs="Arial"/>
          <w:lang w:val="en-GB"/>
        </w:rPr>
        <w:t>the project selection</w:t>
      </w:r>
      <w:r w:rsidR="00177B27">
        <w:rPr>
          <w:rFonts w:ascii="Arial" w:hAnsi="Arial" w:cs="Arial"/>
          <w:lang w:val="en-GB"/>
        </w:rPr>
        <w:t xml:space="preserve"> and the def</w:t>
      </w:r>
      <w:r w:rsidR="001B6265">
        <w:rPr>
          <w:rFonts w:ascii="Arial" w:hAnsi="Arial" w:cs="Arial"/>
          <w:lang w:val="en-GB"/>
        </w:rPr>
        <w:t>inition of the different IPCEI ‘w</w:t>
      </w:r>
      <w:r w:rsidR="00177B27">
        <w:rPr>
          <w:rFonts w:ascii="Arial" w:hAnsi="Arial" w:cs="Arial"/>
          <w:lang w:val="en-GB"/>
        </w:rPr>
        <w:t>aves</w:t>
      </w:r>
      <w:r w:rsidR="001B6265">
        <w:rPr>
          <w:rFonts w:ascii="Arial" w:hAnsi="Arial" w:cs="Arial"/>
          <w:lang w:val="en-GB"/>
        </w:rPr>
        <w:t>’</w:t>
      </w:r>
      <w:r w:rsidR="00177B27">
        <w:rPr>
          <w:rFonts w:ascii="Arial" w:hAnsi="Arial" w:cs="Arial"/>
          <w:lang w:val="en-GB"/>
        </w:rPr>
        <w:t xml:space="preserve"> (content and participating direct partners)</w:t>
      </w:r>
      <w:r>
        <w:rPr>
          <w:rFonts w:ascii="Arial" w:hAnsi="Arial" w:cs="Arial"/>
          <w:lang w:val="en-GB"/>
        </w:rPr>
        <w:t xml:space="preserve">. </w:t>
      </w:r>
    </w:p>
    <w:p w14:paraId="1337191B" w14:textId="77777777" w:rsidR="00595F55" w:rsidRDefault="00595F55" w:rsidP="00595F55">
      <w:pPr>
        <w:pStyle w:val="Lijstalinea"/>
        <w:spacing w:line="256" w:lineRule="auto"/>
        <w:ind w:left="1636"/>
        <w:jc w:val="both"/>
        <w:rPr>
          <w:rFonts w:ascii="Arial" w:hAnsi="Arial" w:cs="Arial"/>
          <w:lang w:val="en-GB"/>
        </w:rPr>
      </w:pPr>
    </w:p>
    <w:p w14:paraId="4888B7B3" w14:textId="20733389" w:rsidR="00595F55" w:rsidRPr="00595F55" w:rsidRDefault="00595F55" w:rsidP="00595F55">
      <w:pPr>
        <w:pStyle w:val="Lijstalinea"/>
        <w:numPr>
          <w:ilvl w:val="0"/>
          <w:numId w:val="8"/>
        </w:numPr>
        <w:spacing w:line="256" w:lineRule="auto"/>
        <w:jc w:val="both"/>
        <w:rPr>
          <w:rFonts w:ascii="Arial" w:hAnsi="Arial" w:cs="Arial"/>
          <w:lang w:val="en-GB"/>
        </w:rPr>
      </w:pPr>
      <w:r w:rsidRPr="00595F55">
        <w:rPr>
          <w:rFonts w:ascii="Arial" w:hAnsi="Arial" w:cs="Arial"/>
          <w:lang w:val="en-GB"/>
        </w:rPr>
        <w:t>The project selection and the definition of the IPCEI ‘w</w:t>
      </w:r>
      <w:r w:rsidR="00EA54E9">
        <w:rPr>
          <w:rFonts w:ascii="Arial" w:hAnsi="Arial" w:cs="Arial"/>
          <w:lang w:val="en-GB"/>
        </w:rPr>
        <w:t>aves’ defined by the Task Force</w:t>
      </w:r>
      <w:r w:rsidRPr="00595F55">
        <w:rPr>
          <w:rFonts w:ascii="Arial" w:hAnsi="Arial" w:cs="Arial"/>
          <w:lang w:val="en-GB"/>
        </w:rPr>
        <w:t xml:space="preserve"> has to be confirmed by all states participating in the IPCEI-process. Participating states may, if necessary, conduct a process to confirm their intention of allocating national budget to direct partners that have been agreed by the Task Force and all participating states. The European IPCEI process will therefore allow two weeks for a national confirmation process after the European match-making to ensure coordination between national budgets and approved IPCEI projects by the Task Force. </w:t>
      </w:r>
    </w:p>
    <w:p w14:paraId="722DD932" w14:textId="77777777" w:rsidR="00C439BA" w:rsidRDefault="00C439BA" w:rsidP="00533BB2">
      <w:pPr>
        <w:pStyle w:val="Lijstalinea"/>
        <w:spacing w:after="0"/>
        <w:ind w:left="1494"/>
        <w:jc w:val="both"/>
        <w:rPr>
          <w:rFonts w:ascii="Arial" w:hAnsi="Arial" w:cs="Arial"/>
          <w:lang w:val="en-GB"/>
        </w:rPr>
      </w:pPr>
    </w:p>
    <w:p w14:paraId="6FA7812B" w14:textId="6AC60224" w:rsidR="00214DA9" w:rsidRPr="00214DA9" w:rsidRDefault="00142F70" w:rsidP="00F422A5">
      <w:pPr>
        <w:pStyle w:val="Kop1"/>
        <w:rPr>
          <w:lang w:val="en-GB"/>
        </w:rPr>
      </w:pPr>
      <w:r>
        <w:rPr>
          <w:lang w:val="en-GB"/>
        </w:rPr>
        <w:t>Time</w:t>
      </w:r>
      <w:r w:rsidR="00CA0FA8">
        <w:rPr>
          <w:lang w:val="en-GB"/>
        </w:rPr>
        <w:t>l</w:t>
      </w:r>
      <w:r>
        <w:rPr>
          <w:lang w:val="en-GB"/>
        </w:rPr>
        <w:t>ine, Milestones, D</w:t>
      </w:r>
      <w:r w:rsidR="00214DA9">
        <w:rPr>
          <w:lang w:val="en-GB"/>
        </w:rPr>
        <w:t>eadline</w:t>
      </w:r>
      <w:r>
        <w:rPr>
          <w:lang w:val="en-GB"/>
        </w:rPr>
        <w:t>s</w:t>
      </w:r>
    </w:p>
    <w:p w14:paraId="081337AD" w14:textId="77777777" w:rsidR="00214DA9" w:rsidRDefault="00214DA9" w:rsidP="00214DA9">
      <w:pPr>
        <w:spacing w:line="256" w:lineRule="auto"/>
        <w:jc w:val="both"/>
        <w:rPr>
          <w:rFonts w:ascii="Arial" w:hAnsi="Arial" w:cs="Arial"/>
          <w:lang w:val="en-GB"/>
        </w:rPr>
      </w:pPr>
    </w:p>
    <w:p w14:paraId="517BA2D9" w14:textId="36378098" w:rsidR="004C2014" w:rsidRDefault="00BB4EEF" w:rsidP="001952C7">
      <w:pPr>
        <w:pStyle w:val="Lijstalinea"/>
        <w:numPr>
          <w:ilvl w:val="0"/>
          <w:numId w:val="8"/>
        </w:numPr>
        <w:spacing w:line="256" w:lineRule="auto"/>
        <w:jc w:val="both"/>
        <w:rPr>
          <w:rFonts w:ascii="Arial" w:hAnsi="Arial" w:cs="Arial"/>
          <w:lang w:val="en-GB"/>
        </w:rPr>
      </w:pPr>
      <w:r>
        <w:rPr>
          <w:rFonts w:ascii="Arial" w:hAnsi="Arial" w:cs="Arial"/>
          <w:lang w:val="en-GB"/>
        </w:rPr>
        <w:t xml:space="preserve">Acknowledging </w:t>
      </w:r>
      <w:r w:rsidR="004C2014" w:rsidRPr="004C2014">
        <w:rPr>
          <w:rFonts w:ascii="Arial" w:hAnsi="Arial" w:cs="Arial"/>
          <w:lang w:val="en-GB"/>
        </w:rPr>
        <w:t xml:space="preserve">that more than one </w:t>
      </w:r>
      <w:r w:rsidR="00F37677">
        <w:rPr>
          <w:rFonts w:ascii="Arial" w:hAnsi="Arial" w:cs="Arial"/>
          <w:lang w:val="en-GB"/>
        </w:rPr>
        <w:t>IPCEI</w:t>
      </w:r>
      <w:r w:rsidR="004C2014" w:rsidRPr="004C2014">
        <w:rPr>
          <w:rFonts w:ascii="Arial" w:hAnsi="Arial" w:cs="Arial"/>
          <w:lang w:val="en-GB"/>
        </w:rPr>
        <w:t xml:space="preserve"> is necessary to maintain manageability</w:t>
      </w:r>
      <w:r w:rsidR="00F37677">
        <w:rPr>
          <w:rFonts w:ascii="Arial" w:hAnsi="Arial" w:cs="Arial"/>
          <w:lang w:val="en-GB"/>
        </w:rPr>
        <w:t xml:space="preserve"> in terms of size</w:t>
      </w:r>
      <w:r w:rsidR="004C2014" w:rsidRPr="004C2014">
        <w:rPr>
          <w:rFonts w:ascii="Arial" w:hAnsi="Arial" w:cs="Arial"/>
          <w:lang w:val="en-GB"/>
        </w:rPr>
        <w:t xml:space="preserve">, </w:t>
      </w:r>
      <w:r w:rsidR="00E03156">
        <w:rPr>
          <w:rFonts w:ascii="Arial" w:hAnsi="Arial" w:cs="Arial"/>
          <w:lang w:val="en-GB"/>
        </w:rPr>
        <w:t xml:space="preserve">participating </w:t>
      </w:r>
      <w:r w:rsidR="001B6265">
        <w:rPr>
          <w:rFonts w:ascii="Arial" w:hAnsi="Arial" w:cs="Arial"/>
          <w:lang w:val="en-GB"/>
        </w:rPr>
        <w:t>s</w:t>
      </w:r>
      <w:r w:rsidR="004C2014" w:rsidRPr="004C2014">
        <w:rPr>
          <w:rFonts w:ascii="Arial" w:hAnsi="Arial" w:cs="Arial"/>
          <w:lang w:val="en-GB"/>
        </w:rPr>
        <w:t xml:space="preserve">tates </w:t>
      </w:r>
      <w:r w:rsidR="00E03156">
        <w:rPr>
          <w:rFonts w:ascii="Arial" w:hAnsi="Arial" w:cs="Arial"/>
          <w:lang w:val="en-GB"/>
        </w:rPr>
        <w:t xml:space="preserve">envisage </w:t>
      </w:r>
      <w:r w:rsidR="004C2014" w:rsidRPr="004C2014">
        <w:rPr>
          <w:rFonts w:ascii="Arial" w:hAnsi="Arial" w:cs="Arial"/>
          <w:lang w:val="en-GB"/>
        </w:rPr>
        <w:t xml:space="preserve">four </w:t>
      </w:r>
      <w:r w:rsidR="00E03156">
        <w:rPr>
          <w:rFonts w:ascii="Arial" w:hAnsi="Arial" w:cs="Arial"/>
          <w:lang w:val="en-GB"/>
        </w:rPr>
        <w:t xml:space="preserve">or more </w:t>
      </w:r>
      <w:r w:rsidR="004C2014" w:rsidRPr="004C2014">
        <w:rPr>
          <w:rFonts w:ascii="Arial" w:hAnsi="Arial" w:cs="Arial"/>
          <w:lang w:val="en-GB"/>
        </w:rPr>
        <w:t>potential IPCEI</w:t>
      </w:r>
      <w:r w:rsidR="00E03156">
        <w:rPr>
          <w:rFonts w:ascii="Arial" w:hAnsi="Arial" w:cs="Arial"/>
          <w:lang w:val="en-GB"/>
        </w:rPr>
        <w:t xml:space="preserve"> wave</w:t>
      </w:r>
      <w:r w:rsidR="004C2014" w:rsidRPr="004C2014">
        <w:rPr>
          <w:rFonts w:ascii="Arial" w:hAnsi="Arial" w:cs="Arial"/>
          <w:lang w:val="en-GB"/>
        </w:rPr>
        <w:t xml:space="preserve">s for hydrogen. </w:t>
      </w:r>
      <w:r w:rsidR="00AD0694">
        <w:rPr>
          <w:rFonts w:ascii="Arial" w:hAnsi="Arial" w:cs="Arial"/>
          <w:lang w:val="en-GB"/>
        </w:rPr>
        <w:t xml:space="preserve">The final number of potential IPCEIs depends on the number and content of </w:t>
      </w:r>
      <w:r w:rsidR="00386720">
        <w:rPr>
          <w:rFonts w:ascii="Arial" w:hAnsi="Arial" w:cs="Arial"/>
          <w:lang w:val="en-GB"/>
        </w:rPr>
        <w:t>eligible projects pre-selected</w:t>
      </w:r>
      <w:r w:rsidR="00510222">
        <w:rPr>
          <w:rFonts w:ascii="Arial" w:hAnsi="Arial" w:cs="Arial"/>
          <w:lang w:val="en-GB"/>
        </w:rPr>
        <w:t xml:space="preserve"> (information to be derived from the fact sheets)</w:t>
      </w:r>
      <w:r w:rsidR="00386720">
        <w:rPr>
          <w:rFonts w:ascii="Arial" w:hAnsi="Arial" w:cs="Arial"/>
          <w:lang w:val="en-GB"/>
        </w:rPr>
        <w:t>.</w:t>
      </w:r>
    </w:p>
    <w:p w14:paraId="349A7D8B" w14:textId="77777777" w:rsidR="00C75320" w:rsidRDefault="00C75320" w:rsidP="00C75320">
      <w:pPr>
        <w:pStyle w:val="Lijstalinea"/>
        <w:spacing w:line="256" w:lineRule="auto"/>
        <w:ind w:left="1636"/>
        <w:jc w:val="both"/>
        <w:rPr>
          <w:rFonts w:ascii="Arial" w:hAnsi="Arial" w:cs="Arial"/>
          <w:lang w:val="en-GB"/>
        </w:rPr>
      </w:pPr>
    </w:p>
    <w:p w14:paraId="0597DD5B" w14:textId="616AF1A4" w:rsidR="00854FB1" w:rsidRDefault="00854FB1" w:rsidP="001952C7">
      <w:pPr>
        <w:pStyle w:val="Lijstalinea"/>
        <w:numPr>
          <w:ilvl w:val="0"/>
          <w:numId w:val="8"/>
        </w:numPr>
        <w:spacing w:line="256" w:lineRule="auto"/>
        <w:jc w:val="both"/>
        <w:rPr>
          <w:rFonts w:ascii="Arial" w:hAnsi="Arial" w:cs="Arial"/>
          <w:lang w:val="en-GB"/>
        </w:rPr>
      </w:pPr>
      <w:r>
        <w:rPr>
          <w:rFonts w:ascii="Arial" w:hAnsi="Arial" w:cs="Arial"/>
          <w:lang w:val="en-GB"/>
        </w:rPr>
        <w:t xml:space="preserve">A decision about the coordination of each wave will be taken as soon as the potential number of IPCEIs has been defined. </w:t>
      </w:r>
    </w:p>
    <w:p w14:paraId="0F233959" w14:textId="77777777" w:rsidR="004C2014" w:rsidRDefault="004C2014" w:rsidP="004C2014">
      <w:pPr>
        <w:pStyle w:val="Lijstalinea"/>
        <w:spacing w:line="256" w:lineRule="auto"/>
        <w:ind w:left="1494"/>
        <w:jc w:val="both"/>
        <w:rPr>
          <w:rFonts w:ascii="Arial" w:hAnsi="Arial" w:cs="Arial"/>
          <w:lang w:val="en-GB"/>
        </w:rPr>
      </w:pPr>
    </w:p>
    <w:p w14:paraId="19661283" w14:textId="0B5F3323" w:rsidR="004C2014" w:rsidRDefault="008A4292" w:rsidP="001952C7">
      <w:pPr>
        <w:pStyle w:val="Lijstalinea"/>
        <w:numPr>
          <w:ilvl w:val="0"/>
          <w:numId w:val="8"/>
        </w:numPr>
        <w:spacing w:line="256" w:lineRule="auto"/>
        <w:jc w:val="both"/>
        <w:rPr>
          <w:rFonts w:ascii="Arial" w:hAnsi="Arial" w:cs="Arial"/>
          <w:lang w:val="en-GB"/>
        </w:rPr>
      </w:pPr>
      <w:r>
        <w:rPr>
          <w:rFonts w:ascii="Arial" w:hAnsi="Arial" w:cs="Arial"/>
          <w:lang w:val="en-GB"/>
        </w:rPr>
        <w:t xml:space="preserve">The time line foresees two IPCEIs to be prepared simultaneously in 2021 and notified subsequently. </w:t>
      </w:r>
      <w:r w:rsidR="005E5D76">
        <w:rPr>
          <w:rFonts w:ascii="Arial" w:hAnsi="Arial" w:cs="Arial"/>
          <w:lang w:val="en-GB"/>
        </w:rPr>
        <w:t xml:space="preserve">Pre-notification for </w:t>
      </w:r>
      <w:r w:rsidR="00CA0FA8">
        <w:rPr>
          <w:rFonts w:ascii="Arial" w:hAnsi="Arial" w:cs="Arial"/>
          <w:lang w:val="en-GB"/>
        </w:rPr>
        <w:t xml:space="preserve">a </w:t>
      </w:r>
      <w:r w:rsidR="00557D67">
        <w:rPr>
          <w:rFonts w:ascii="Arial" w:hAnsi="Arial" w:cs="Arial"/>
          <w:lang w:val="en-GB"/>
        </w:rPr>
        <w:t>Summer IPCEI</w:t>
      </w:r>
      <w:r w:rsidR="005E5D76">
        <w:rPr>
          <w:rFonts w:ascii="Arial" w:hAnsi="Arial" w:cs="Arial"/>
          <w:lang w:val="en-GB"/>
        </w:rPr>
        <w:t xml:space="preserve"> will begin </w:t>
      </w:r>
      <w:r w:rsidR="002A4F9A">
        <w:rPr>
          <w:rFonts w:ascii="Arial" w:hAnsi="Arial" w:cs="Arial"/>
          <w:lang w:val="en-GB"/>
        </w:rPr>
        <w:t xml:space="preserve">in Q3 </w:t>
      </w:r>
      <w:r w:rsidR="00557D67">
        <w:rPr>
          <w:rFonts w:ascii="Arial" w:hAnsi="Arial" w:cs="Arial"/>
          <w:lang w:val="en-GB"/>
        </w:rPr>
        <w:t>2021</w:t>
      </w:r>
      <w:r w:rsidR="00626D96">
        <w:rPr>
          <w:rFonts w:ascii="Arial" w:hAnsi="Arial" w:cs="Arial"/>
          <w:lang w:val="en-GB"/>
        </w:rPr>
        <w:t xml:space="preserve"> at the latest</w:t>
      </w:r>
      <w:r w:rsidR="00557D67">
        <w:rPr>
          <w:rFonts w:ascii="Arial" w:hAnsi="Arial" w:cs="Arial"/>
          <w:lang w:val="en-GB"/>
        </w:rPr>
        <w:t xml:space="preserve">. </w:t>
      </w:r>
      <w:r w:rsidR="005001E8">
        <w:rPr>
          <w:rFonts w:ascii="Arial" w:hAnsi="Arial" w:cs="Arial"/>
          <w:lang w:val="en-GB"/>
        </w:rPr>
        <w:t>The launch of the Summer IPCEI is envisaged for Q1 2022</w:t>
      </w:r>
      <w:r w:rsidR="00854FB1">
        <w:rPr>
          <w:rFonts w:ascii="Arial" w:hAnsi="Arial" w:cs="Arial"/>
          <w:lang w:val="en-GB"/>
        </w:rPr>
        <w:t xml:space="preserve">. </w:t>
      </w:r>
      <w:r w:rsidR="00E03156" w:rsidRPr="00FB29EC">
        <w:rPr>
          <w:rFonts w:ascii="Arial" w:hAnsi="Arial" w:cs="Arial"/>
          <w:lang w:val="en-GB"/>
        </w:rPr>
        <w:t xml:space="preserve">The time line for the subsequent waves should be as short as possible in order to meet expectations of the companies.  </w:t>
      </w:r>
    </w:p>
    <w:p w14:paraId="2F6C5A6A" w14:textId="77777777" w:rsidR="00FB29EC" w:rsidRPr="00FB29EC" w:rsidRDefault="00FB29EC" w:rsidP="00FB29EC">
      <w:pPr>
        <w:pStyle w:val="Lijstalinea"/>
        <w:spacing w:line="256" w:lineRule="auto"/>
        <w:ind w:left="1636"/>
        <w:jc w:val="both"/>
        <w:rPr>
          <w:rFonts w:ascii="Arial" w:hAnsi="Arial" w:cs="Arial"/>
          <w:lang w:val="en-GB"/>
        </w:rPr>
      </w:pPr>
    </w:p>
    <w:p w14:paraId="6CA80B2E" w14:textId="0B94247D" w:rsidR="00214DA9" w:rsidRDefault="00214DA9" w:rsidP="001952C7">
      <w:pPr>
        <w:pStyle w:val="Lijstalinea"/>
        <w:numPr>
          <w:ilvl w:val="0"/>
          <w:numId w:val="8"/>
        </w:numPr>
        <w:spacing w:line="256" w:lineRule="auto"/>
        <w:jc w:val="both"/>
        <w:rPr>
          <w:rFonts w:ascii="Arial" w:hAnsi="Arial" w:cs="Arial"/>
          <w:lang w:val="en-GB"/>
        </w:rPr>
      </w:pPr>
      <w:r>
        <w:rPr>
          <w:rFonts w:ascii="Arial" w:hAnsi="Arial" w:cs="Arial"/>
          <w:lang w:val="en-GB"/>
        </w:rPr>
        <w:t>In</w:t>
      </w:r>
      <w:r w:rsidRPr="00214DA9">
        <w:rPr>
          <w:rFonts w:ascii="Arial" w:hAnsi="Arial" w:cs="Arial"/>
          <w:lang w:val="en-GB"/>
        </w:rPr>
        <w:t xml:space="preserve"> order to enhance the pre-engineering procedure and adhere to the time line, </w:t>
      </w:r>
      <w:r w:rsidR="00670D3C" w:rsidRPr="00733C25">
        <w:rPr>
          <w:rFonts w:ascii="Arial" w:hAnsi="Arial" w:cs="Arial"/>
          <w:lang w:val="en-GB"/>
        </w:rPr>
        <w:t>participating s</w:t>
      </w:r>
      <w:r w:rsidRPr="00733C25">
        <w:rPr>
          <w:rFonts w:ascii="Arial" w:hAnsi="Arial" w:cs="Arial"/>
          <w:lang w:val="en-GB"/>
        </w:rPr>
        <w:t>tates</w:t>
      </w:r>
      <w:r w:rsidRPr="00214DA9">
        <w:rPr>
          <w:rFonts w:ascii="Arial" w:hAnsi="Arial" w:cs="Arial"/>
          <w:lang w:val="en-GB"/>
        </w:rPr>
        <w:t xml:space="preserve"> are asked to have their projects submit fact sheets as soon as possible.</w:t>
      </w:r>
      <w:r>
        <w:rPr>
          <w:rFonts w:ascii="Arial" w:hAnsi="Arial" w:cs="Arial"/>
          <w:lang w:val="en-GB"/>
        </w:rPr>
        <w:t xml:space="preserve"> </w:t>
      </w:r>
      <w:r w:rsidR="002A4F9A">
        <w:rPr>
          <w:rFonts w:ascii="Arial" w:hAnsi="Arial" w:cs="Arial"/>
          <w:lang w:val="en-GB"/>
        </w:rPr>
        <w:t>The</w:t>
      </w:r>
      <w:r>
        <w:rPr>
          <w:rFonts w:ascii="Arial" w:hAnsi="Arial" w:cs="Arial"/>
          <w:lang w:val="en-GB"/>
        </w:rPr>
        <w:t xml:space="preserve"> deadline for fact sheet submission to be participating in the </w:t>
      </w:r>
      <w:r w:rsidR="005E5D76">
        <w:rPr>
          <w:rFonts w:ascii="Arial" w:hAnsi="Arial" w:cs="Arial"/>
          <w:lang w:val="en-GB"/>
        </w:rPr>
        <w:t xml:space="preserve">Summer IPCEI </w:t>
      </w:r>
      <w:r>
        <w:rPr>
          <w:rFonts w:ascii="Arial" w:hAnsi="Arial" w:cs="Arial"/>
          <w:lang w:val="en-GB"/>
        </w:rPr>
        <w:t xml:space="preserve">is </w:t>
      </w:r>
      <w:r w:rsidRPr="005E5D76">
        <w:rPr>
          <w:rFonts w:ascii="Arial" w:hAnsi="Arial" w:cs="Arial"/>
          <w:color w:val="FF0000"/>
          <w:lang w:val="en-GB"/>
        </w:rPr>
        <w:t>May 31</w:t>
      </w:r>
      <w:r w:rsidRPr="005E5D76">
        <w:rPr>
          <w:rFonts w:ascii="Arial" w:hAnsi="Arial" w:cs="Arial"/>
          <w:color w:val="FF0000"/>
          <w:vertAlign w:val="superscript"/>
          <w:lang w:val="en-GB"/>
        </w:rPr>
        <w:t>st</w:t>
      </w:r>
      <w:r w:rsidRPr="005E5D76">
        <w:rPr>
          <w:rFonts w:ascii="Arial" w:hAnsi="Arial" w:cs="Arial"/>
          <w:color w:val="FF0000"/>
          <w:lang w:val="en-GB"/>
        </w:rPr>
        <w:t xml:space="preserve"> 2021</w:t>
      </w:r>
      <w:r>
        <w:rPr>
          <w:rFonts w:ascii="Arial" w:hAnsi="Arial" w:cs="Arial"/>
          <w:lang w:val="en-GB"/>
        </w:rPr>
        <w:t xml:space="preserve">. </w:t>
      </w:r>
      <w:r w:rsidR="005E5D76">
        <w:rPr>
          <w:rFonts w:ascii="Arial" w:hAnsi="Arial" w:cs="Arial"/>
          <w:lang w:val="en-GB"/>
        </w:rPr>
        <w:t>Deadline for participating in the</w:t>
      </w:r>
      <w:r w:rsidR="00670D3C">
        <w:rPr>
          <w:rFonts w:ascii="Arial" w:hAnsi="Arial" w:cs="Arial"/>
          <w:lang w:val="en-GB"/>
        </w:rPr>
        <w:t xml:space="preserve"> </w:t>
      </w:r>
      <w:r w:rsidR="00670D3C" w:rsidRPr="00E7202F">
        <w:rPr>
          <w:rFonts w:ascii="Arial" w:hAnsi="Arial" w:cs="Arial"/>
          <w:lang w:val="en-GB"/>
        </w:rPr>
        <w:t xml:space="preserve">closely following </w:t>
      </w:r>
      <w:r w:rsidR="005E5D76" w:rsidRPr="00E7202F">
        <w:rPr>
          <w:rFonts w:ascii="Arial" w:hAnsi="Arial" w:cs="Arial"/>
          <w:lang w:val="en-GB"/>
        </w:rPr>
        <w:t>Autumn</w:t>
      </w:r>
      <w:r w:rsidR="005E5D76">
        <w:rPr>
          <w:rFonts w:ascii="Arial" w:hAnsi="Arial" w:cs="Arial"/>
          <w:lang w:val="en-GB"/>
        </w:rPr>
        <w:t xml:space="preserve"> IPCEI is </w:t>
      </w:r>
      <w:r w:rsidR="0096352C" w:rsidRPr="002E7C50">
        <w:rPr>
          <w:rFonts w:ascii="Arial" w:hAnsi="Arial" w:cs="Arial"/>
          <w:color w:val="FF0000"/>
          <w:lang w:val="en-GB"/>
        </w:rPr>
        <w:t>XX June</w:t>
      </w:r>
      <w:r w:rsidR="002E7C50">
        <w:rPr>
          <w:rFonts w:ascii="Arial" w:hAnsi="Arial" w:cs="Arial"/>
          <w:color w:val="FF0000"/>
          <w:lang w:val="en-GB"/>
        </w:rPr>
        <w:t xml:space="preserve"> 2021</w:t>
      </w:r>
      <w:r w:rsidR="005E5D76">
        <w:rPr>
          <w:rFonts w:ascii="Arial" w:hAnsi="Arial" w:cs="Arial"/>
          <w:lang w:val="en-GB"/>
        </w:rPr>
        <w:t>.</w:t>
      </w:r>
    </w:p>
    <w:p w14:paraId="731671D6" w14:textId="77777777" w:rsidR="00532C4F" w:rsidRPr="00366A3A" w:rsidRDefault="00532C4F" w:rsidP="00532C4F">
      <w:pPr>
        <w:pStyle w:val="Lijstalinea"/>
        <w:spacing w:line="256" w:lineRule="auto"/>
        <w:ind w:left="1494"/>
        <w:jc w:val="both"/>
        <w:rPr>
          <w:rFonts w:ascii="Arial" w:hAnsi="Arial" w:cs="Arial"/>
          <w:lang w:val="en-GB"/>
        </w:rPr>
      </w:pPr>
    </w:p>
    <w:p w14:paraId="1667FD27" w14:textId="376FA89A" w:rsidR="00366A3A" w:rsidRPr="00BB4EEF" w:rsidRDefault="00366A3A" w:rsidP="00BB4EEF">
      <w:pPr>
        <w:pStyle w:val="Bijschrift"/>
        <w:jc w:val="right"/>
        <w:rPr>
          <w:rFonts w:ascii="Arial" w:hAnsi="Arial" w:cs="Arial"/>
          <w:u w:val="single"/>
          <w:lang w:val="en-NZ"/>
        </w:rPr>
      </w:pPr>
    </w:p>
    <w:sectPr w:rsidR="00366A3A" w:rsidRPr="00BB4EE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1134D" w14:textId="77777777" w:rsidR="00147954" w:rsidRDefault="00147954" w:rsidP="00142F70">
      <w:pPr>
        <w:spacing w:after="0" w:line="240" w:lineRule="auto"/>
      </w:pPr>
      <w:r>
        <w:separator/>
      </w:r>
    </w:p>
  </w:endnote>
  <w:endnote w:type="continuationSeparator" w:id="0">
    <w:p w14:paraId="0056E352" w14:textId="77777777" w:rsidR="00147954" w:rsidRDefault="00147954" w:rsidP="0014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733765"/>
      <w:docPartObj>
        <w:docPartGallery w:val="Page Numbers (Bottom of Page)"/>
        <w:docPartUnique/>
      </w:docPartObj>
    </w:sdtPr>
    <w:sdtEndPr>
      <w:rPr>
        <w:rFonts w:ascii="Arial" w:hAnsi="Arial" w:cs="Arial"/>
      </w:rPr>
    </w:sdtEndPr>
    <w:sdtContent>
      <w:p w14:paraId="2C382044" w14:textId="77777777" w:rsidR="00142F70" w:rsidRDefault="00142F70">
        <w:pPr>
          <w:pStyle w:val="Voettekst"/>
          <w:jc w:val="center"/>
        </w:pPr>
      </w:p>
      <w:p w14:paraId="542748DF" w14:textId="1DD1B83E" w:rsidR="00142F70" w:rsidRPr="00142F70" w:rsidRDefault="00142F70">
        <w:pPr>
          <w:pStyle w:val="Voettekst"/>
          <w:jc w:val="center"/>
          <w:rPr>
            <w:rFonts w:ascii="Arial" w:hAnsi="Arial" w:cs="Arial"/>
          </w:rPr>
        </w:pPr>
        <w:r w:rsidRPr="00142F70">
          <w:rPr>
            <w:rFonts w:ascii="Arial" w:hAnsi="Arial" w:cs="Arial"/>
          </w:rPr>
          <w:fldChar w:fldCharType="begin"/>
        </w:r>
        <w:r w:rsidRPr="00142F70">
          <w:rPr>
            <w:rFonts w:ascii="Arial" w:hAnsi="Arial" w:cs="Arial"/>
          </w:rPr>
          <w:instrText>PAGE   \* MERGEFORMAT</w:instrText>
        </w:r>
        <w:r w:rsidRPr="00142F70">
          <w:rPr>
            <w:rFonts w:ascii="Arial" w:hAnsi="Arial" w:cs="Arial"/>
          </w:rPr>
          <w:fldChar w:fldCharType="separate"/>
        </w:r>
        <w:r w:rsidR="00EA54E9">
          <w:rPr>
            <w:rFonts w:ascii="Arial" w:hAnsi="Arial" w:cs="Arial"/>
            <w:noProof/>
          </w:rPr>
          <w:t>5</w:t>
        </w:r>
        <w:r w:rsidRPr="00142F70">
          <w:rPr>
            <w:rFonts w:ascii="Arial" w:hAnsi="Arial" w:cs="Arial"/>
          </w:rPr>
          <w:fldChar w:fldCharType="end"/>
        </w:r>
      </w:p>
    </w:sdtContent>
  </w:sdt>
  <w:p w14:paraId="5173841A" w14:textId="77777777" w:rsidR="00142F70" w:rsidRPr="00142F70" w:rsidRDefault="00142F70">
    <w:pPr>
      <w:pStyle w:val="Voettek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69EAF" w14:textId="77777777" w:rsidR="00147954" w:rsidRDefault="00147954" w:rsidP="00142F70">
      <w:pPr>
        <w:spacing w:after="0" w:line="240" w:lineRule="auto"/>
      </w:pPr>
      <w:r>
        <w:separator/>
      </w:r>
    </w:p>
  </w:footnote>
  <w:footnote w:type="continuationSeparator" w:id="0">
    <w:p w14:paraId="6C878F50" w14:textId="77777777" w:rsidR="00147954" w:rsidRDefault="00147954" w:rsidP="0014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BEC58" w14:textId="569FEAD8" w:rsidR="00B47A35" w:rsidRPr="00B47A35" w:rsidRDefault="00B47A35" w:rsidP="00B47A35">
    <w:pPr>
      <w:pStyle w:val="Koptekst"/>
      <w:jc w:val="center"/>
      <w:rPr>
        <w:rFonts w:ascii="Arial" w:hAnsi="Arial" w:cs="Arial"/>
        <w:b/>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489E"/>
    <w:multiLevelType w:val="multilevel"/>
    <w:tmpl w:val="5CBC2334"/>
    <w:lvl w:ilvl="0">
      <w:start w:val="1"/>
      <w:numFmt w:val="decimal"/>
      <w:lvlText w:val="%1."/>
      <w:lvlJc w:val="left"/>
      <w:pPr>
        <w:ind w:left="1494" w:hanging="360"/>
      </w:pPr>
      <w:rPr>
        <w:rFonts w:hint="default"/>
        <w:b w:val="0"/>
      </w:rPr>
    </w:lvl>
    <w:lvl w:ilvl="1">
      <w:start w:val="1"/>
      <w:numFmt w:val="decimal"/>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 w15:restartNumberingAfterBreak="0">
    <w:nsid w:val="09B51AFE"/>
    <w:multiLevelType w:val="multilevel"/>
    <w:tmpl w:val="48044294"/>
    <w:lvl w:ilvl="0">
      <w:start w:val="1"/>
      <w:numFmt w:val="decimal"/>
      <w:lvlText w:val="%1."/>
      <w:lvlJc w:val="left"/>
      <w:pPr>
        <w:ind w:left="1636" w:hanging="360"/>
      </w:pPr>
      <w:rPr>
        <w:rFonts w:hint="default"/>
        <w:b w:val="0"/>
      </w:rPr>
    </w:lvl>
    <w:lvl w:ilvl="1">
      <w:start w:val="1"/>
      <w:numFmt w:val="decimal"/>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 w15:restartNumberingAfterBreak="0">
    <w:nsid w:val="0B6843BE"/>
    <w:multiLevelType w:val="multilevel"/>
    <w:tmpl w:val="48044294"/>
    <w:lvl w:ilvl="0">
      <w:start w:val="1"/>
      <w:numFmt w:val="decimal"/>
      <w:lvlText w:val="%1."/>
      <w:lvlJc w:val="left"/>
      <w:pPr>
        <w:ind w:left="1494" w:hanging="360"/>
      </w:pPr>
      <w:rPr>
        <w:rFonts w:hint="default"/>
        <w:b w:val="0"/>
      </w:rPr>
    </w:lvl>
    <w:lvl w:ilvl="1">
      <w:start w:val="1"/>
      <w:numFmt w:val="decimal"/>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3" w15:restartNumberingAfterBreak="0">
    <w:nsid w:val="0C083251"/>
    <w:multiLevelType w:val="multilevel"/>
    <w:tmpl w:val="86FE48F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0D374B"/>
    <w:multiLevelType w:val="multilevel"/>
    <w:tmpl w:val="04070027"/>
    <w:lvl w:ilvl="0">
      <w:start w:val="1"/>
      <w:numFmt w:val="upperRoman"/>
      <w:pStyle w:val="Kop1"/>
      <w:lvlText w:val="%1."/>
      <w:lvlJc w:val="left"/>
      <w:pPr>
        <w:ind w:left="0" w:firstLine="0"/>
      </w:pPr>
    </w:lvl>
    <w:lvl w:ilvl="1">
      <w:start w:val="1"/>
      <w:numFmt w:val="upperLetter"/>
      <w:pStyle w:val="Kop2"/>
      <w:lvlText w:val="%2."/>
      <w:lvlJc w:val="left"/>
      <w:pPr>
        <w:ind w:left="720" w:firstLine="0"/>
      </w:pPr>
    </w:lvl>
    <w:lvl w:ilvl="2">
      <w:start w:val="1"/>
      <w:numFmt w:val="decimal"/>
      <w:pStyle w:val="Kop3"/>
      <w:lvlText w:val="%3."/>
      <w:lvlJc w:val="left"/>
      <w:pPr>
        <w:ind w:left="1440" w:firstLine="0"/>
      </w:pPr>
    </w:lvl>
    <w:lvl w:ilvl="3">
      <w:start w:val="1"/>
      <w:numFmt w:val="lowerLetter"/>
      <w:pStyle w:val="Kop4"/>
      <w:lvlText w:val="%4)"/>
      <w:lvlJc w:val="left"/>
      <w:pPr>
        <w:ind w:left="2160" w:firstLine="0"/>
      </w:pPr>
    </w:lvl>
    <w:lvl w:ilvl="4">
      <w:start w:val="1"/>
      <w:numFmt w:val="decimal"/>
      <w:pStyle w:val="Kop5"/>
      <w:lvlText w:val="(%5)"/>
      <w:lvlJc w:val="left"/>
      <w:pPr>
        <w:ind w:left="2880" w:firstLine="0"/>
      </w:pPr>
    </w:lvl>
    <w:lvl w:ilvl="5">
      <w:start w:val="1"/>
      <w:numFmt w:val="lowerLetter"/>
      <w:pStyle w:val="Kop6"/>
      <w:lvlText w:val="(%6)"/>
      <w:lvlJc w:val="left"/>
      <w:pPr>
        <w:ind w:left="3600" w:firstLine="0"/>
      </w:pPr>
    </w:lvl>
    <w:lvl w:ilvl="6">
      <w:start w:val="1"/>
      <w:numFmt w:val="lowerRoman"/>
      <w:pStyle w:val="Kop7"/>
      <w:lvlText w:val="(%7)"/>
      <w:lvlJc w:val="left"/>
      <w:pPr>
        <w:ind w:left="4320" w:firstLine="0"/>
      </w:pPr>
    </w:lvl>
    <w:lvl w:ilvl="7">
      <w:start w:val="1"/>
      <w:numFmt w:val="lowerLetter"/>
      <w:pStyle w:val="Kop8"/>
      <w:lvlText w:val="(%8)"/>
      <w:lvlJc w:val="left"/>
      <w:pPr>
        <w:ind w:left="5040" w:firstLine="0"/>
      </w:pPr>
    </w:lvl>
    <w:lvl w:ilvl="8">
      <w:start w:val="1"/>
      <w:numFmt w:val="lowerRoman"/>
      <w:pStyle w:val="Kop9"/>
      <w:lvlText w:val="(%9)"/>
      <w:lvlJc w:val="left"/>
      <w:pPr>
        <w:ind w:left="5760" w:firstLine="0"/>
      </w:pPr>
    </w:lvl>
  </w:abstractNum>
  <w:abstractNum w:abstractNumId="5" w15:restartNumberingAfterBreak="0">
    <w:nsid w:val="15AD3842"/>
    <w:multiLevelType w:val="multilevel"/>
    <w:tmpl w:val="48044294"/>
    <w:lvl w:ilvl="0">
      <w:start w:val="1"/>
      <w:numFmt w:val="decimal"/>
      <w:lvlText w:val="%1."/>
      <w:lvlJc w:val="left"/>
      <w:pPr>
        <w:ind w:left="1636" w:hanging="360"/>
      </w:pPr>
      <w:rPr>
        <w:rFonts w:hint="default"/>
        <w:b w:val="0"/>
      </w:rPr>
    </w:lvl>
    <w:lvl w:ilvl="1">
      <w:start w:val="1"/>
      <w:numFmt w:val="decimal"/>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6" w15:restartNumberingAfterBreak="0">
    <w:nsid w:val="20A641A0"/>
    <w:multiLevelType w:val="multilevel"/>
    <w:tmpl w:val="5F7A1FE0"/>
    <w:lvl w:ilvl="0">
      <w:start w:val="1"/>
      <w:numFmt w:val="decimal"/>
      <w:lvlText w:val="%1."/>
      <w:lvlJc w:val="left"/>
      <w:pPr>
        <w:ind w:left="1636" w:hanging="360"/>
      </w:pPr>
      <w:rPr>
        <w:rFonts w:hint="default"/>
        <w:b w:val="0"/>
        <w:strike w:val="0"/>
      </w:rPr>
    </w:lvl>
    <w:lvl w:ilvl="1">
      <w:start w:val="1"/>
      <w:numFmt w:val="decimal"/>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7" w15:restartNumberingAfterBreak="0">
    <w:nsid w:val="260A08B9"/>
    <w:multiLevelType w:val="hybridMultilevel"/>
    <w:tmpl w:val="1F460C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D26356E"/>
    <w:multiLevelType w:val="hybridMultilevel"/>
    <w:tmpl w:val="5BD0CCF2"/>
    <w:lvl w:ilvl="0" w:tplc="E806E5A4">
      <w:start w:val="1"/>
      <w:numFmt w:val="decimal"/>
      <w:lvlText w:val="%1."/>
      <w:lvlJc w:val="left"/>
      <w:pPr>
        <w:ind w:left="1635" w:hanging="360"/>
      </w:pPr>
      <w:rPr>
        <w:rFonts w:hint="default"/>
        <w:b w:val="0"/>
      </w:rPr>
    </w:lvl>
    <w:lvl w:ilvl="1" w:tplc="14090019">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9" w15:restartNumberingAfterBreak="0">
    <w:nsid w:val="2F965460"/>
    <w:multiLevelType w:val="multilevel"/>
    <w:tmpl w:val="F7E4866C"/>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836D65"/>
    <w:multiLevelType w:val="multilevel"/>
    <w:tmpl w:val="48044294"/>
    <w:lvl w:ilvl="0">
      <w:start w:val="1"/>
      <w:numFmt w:val="decimal"/>
      <w:lvlText w:val="%1."/>
      <w:lvlJc w:val="left"/>
      <w:pPr>
        <w:ind w:left="1636" w:hanging="360"/>
      </w:pPr>
      <w:rPr>
        <w:rFonts w:hint="default"/>
        <w:b w:val="0"/>
      </w:rPr>
    </w:lvl>
    <w:lvl w:ilvl="1">
      <w:start w:val="1"/>
      <w:numFmt w:val="decimal"/>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1" w15:restartNumberingAfterBreak="0">
    <w:nsid w:val="435D18E5"/>
    <w:multiLevelType w:val="hybridMultilevel"/>
    <w:tmpl w:val="B594682E"/>
    <w:lvl w:ilvl="0" w:tplc="3AA66F6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48372AAB"/>
    <w:multiLevelType w:val="hybridMultilevel"/>
    <w:tmpl w:val="727EA842"/>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A270602"/>
    <w:multiLevelType w:val="multilevel"/>
    <w:tmpl w:val="DEDC1D30"/>
    <w:lvl w:ilvl="0">
      <w:start w:val="1"/>
      <w:numFmt w:val="upperLetter"/>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41E2F72"/>
    <w:multiLevelType w:val="multilevel"/>
    <w:tmpl w:val="86FE48F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9CA367C"/>
    <w:multiLevelType w:val="multilevel"/>
    <w:tmpl w:val="48044294"/>
    <w:lvl w:ilvl="0">
      <w:start w:val="1"/>
      <w:numFmt w:val="decimal"/>
      <w:lvlText w:val="%1."/>
      <w:lvlJc w:val="left"/>
      <w:pPr>
        <w:ind w:left="1494" w:hanging="360"/>
      </w:pPr>
      <w:rPr>
        <w:rFonts w:hint="default"/>
        <w:b w:val="0"/>
      </w:rPr>
    </w:lvl>
    <w:lvl w:ilvl="1">
      <w:start w:val="1"/>
      <w:numFmt w:val="decimal"/>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6" w15:restartNumberingAfterBreak="0">
    <w:nsid w:val="6A7A17D1"/>
    <w:multiLevelType w:val="hybridMultilevel"/>
    <w:tmpl w:val="CD96704C"/>
    <w:lvl w:ilvl="0" w:tplc="44C83C96">
      <w:start w:val="1"/>
      <w:numFmt w:val="decimal"/>
      <w:lvlText w:val="%1."/>
      <w:lvlJc w:val="left"/>
      <w:pPr>
        <w:ind w:left="720" w:hanging="360"/>
      </w:pPr>
      <w:rPr>
        <w:rFonts w:hint="default"/>
        <w:b/>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9434E28"/>
    <w:multiLevelType w:val="multilevel"/>
    <w:tmpl w:val="8CD66D88"/>
    <w:lvl w:ilvl="0">
      <w:start w:val="1"/>
      <w:numFmt w:val="upperLetter"/>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8"/>
  </w:num>
  <w:num w:numId="3">
    <w:abstractNumId w:val="11"/>
  </w:num>
  <w:num w:numId="4">
    <w:abstractNumId w:val="16"/>
  </w:num>
  <w:num w:numId="5">
    <w:abstractNumId w:val="7"/>
  </w:num>
  <w:num w:numId="6">
    <w:abstractNumId w:val="13"/>
  </w:num>
  <w:num w:numId="7">
    <w:abstractNumId w:val="3"/>
  </w:num>
  <w:num w:numId="8">
    <w:abstractNumId w:val="6"/>
  </w:num>
  <w:num w:numId="9">
    <w:abstractNumId w:val="17"/>
  </w:num>
  <w:num w:numId="10">
    <w:abstractNumId w:val="14"/>
  </w:num>
  <w:num w:numId="11">
    <w:abstractNumId w:val="9"/>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2"/>
  </w:num>
  <w:num w:numId="17">
    <w:abstractNumId w:val="4"/>
  </w:num>
  <w:num w:numId="18">
    <w:abstractNumId w:val="1"/>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8C"/>
    <w:rsid w:val="00001BA8"/>
    <w:rsid w:val="00094BCF"/>
    <w:rsid w:val="000970F6"/>
    <w:rsid w:val="000A035F"/>
    <w:rsid w:val="000C20A3"/>
    <w:rsid w:val="000E76C1"/>
    <w:rsid w:val="00100EE2"/>
    <w:rsid w:val="00102AF7"/>
    <w:rsid w:val="00142F70"/>
    <w:rsid w:val="00147954"/>
    <w:rsid w:val="00177B27"/>
    <w:rsid w:val="001952C7"/>
    <w:rsid w:val="001B6265"/>
    <w:rsid w:val="001E4DFE"/>
    <w:rsid w:val="00214DA9"/>
    <w:rsid w:val="002912F2"/>
    <w:rsid w:val="002A4F9A"/>
    <w:rsid w:val="002B3F01"/>
    <w:rsid w:val="002E7C50"/>
    <w:rsid w:val="00314FB1"/>
    <w:rsid w:val="00317241"/>
    <w:rsid w:val="003310C6"/>
    <w:rsid w:val="00343169"/>
    <w:rsid w:val="00357C15"/>
    <w:rsid w:val="00366A3A"/>
    <w:rsid w:val="0038659E"/>
    <w:rsid w:val="00386720"/>
    <w:rsid w:val="00390AF0"/>
    <w:rsid w:val="003A1A8A"/>
    <w:rsid w:val="003B5997"/>
    <w:rsid w:val="003B66A9"/>
    <w:rsid w:val="003E0859"/>
    <w:rsid w:val="003F2056"/>
    <w:rsid w:val="003F46D7"/>
    <w:rsid w:val="00404BAF"/>
    <w:rsid w:val="0040788C"/>
    <w:rsid w:val="00411B24"/>
    <w:rsid w:val="00411E70"/>
    <w:rsid w:val="004402A6"/>
    <w:rsid w:val="004915E2"/>
    <w:rsid w:val="0049536B"/>
    <w:rsid w:val="004B3902"/>
    <w:rsid w:val="004C2014"/>
    <w:rsid w:val="004C2656"/>
    <w:rsid w:val="004C69AC"/>
    <w:rsid w:val="004D1D0B"/>
    <w:rsid w:val="004D5C23"/>
    <w:rsid w:val="004E4EBB"/>
    <w:rsid w:val="005001E8"/>
    <w:rsid w:val="00510222"/>
    <w:rsid w:val="00530555"/>
    <w:rsid w:val="00532C4F"/>
    <w:rsid w:val="00533BB2"/>
    <w:rsid w:val="0054143F"/>
    <w:rsid w:val="00557D67"/>
    <w:rsid w:val="00580291"/>
    <w:rsid w:val="00595F55"/>
    <w:rsid w:val="005A100F"/>
    <w:rsid w:val="005A5A34"/>
    <w:rsid w:val="005B3581"/>
    <w:rsid w:val="005E3366"/>
    <w:rsid w:val="005E5D76"/>
    <w:rsid w:val="006009D8"/>
    <w:rsid w:val="00626D96"/>
    <w:rsid w:val="00670D3C"/>
    <w:rsid w:val="00687BBB"/>
    <w:rsid w:val="00693ECC"/>
    <w:rsid w:val="006B03FF"/>
    <w:rsid w:val="006B5AB2"/>
    <w:rsid w:val="006D2065"/>
    <w:rsid w:val="006D64FB"/>
    <w:rsid w:val="006E0709"/>
    <w:rsid w:val="006E137E"/>
    <w:rsid w:val="006E3168"/>
    <w:rsid w:val="006E7EE4"/>
    <w:rsid w:val="007236AA"/>
    <w:rsid w:val="00726786"/>
    <w:rsid w:val="00731046"/>
    <w:rsid w:val="00733C25"/>
    <w:rsid w:val="00753661"/>
    <w:rsid w:val="00761E81"/>
    <w:rsid w:val="00781FEA"/>
    <w:rsid w:val="00785F81"/>
    <w:rsid w:val="007A2AC8"/>
    <w:rsid w:val="007A5AA3"/>
    <w:rsid w:val="007B2500"/>
    <w:rsid w:val="007C406C"/>
    <w:rsid w:val="007E1A94"/>
    <w:rsid w:val="008224F1"/>
    <w:rsid w:val="00840414"/>
    <w:rsid w:val="00854FB1"/>
    <w:rsid w:val="00880B25"/>
    <w:rsid w:val="008A4292"/>
    <w:rsid w:val="008A5E7A"/>
    <w:rsid w:val="008E7C1B"/>
    <w:rsid w:val="009175CE"/>
    <w:rsid w:val="0092682A"/>
    <w:rsid w:val="0093381B"/>
    <w:rsid w:val="00937B36"/>
    <w:rsid w:val="009466A0"/>
    <w:rsid w:val="00953F89"/>
    <w:rsid w:val="0096352C"/>
    <w:rsid w:val="00964F16"/>
    <w:rsid w:val="00970401"/>
    <w:rsid w:val="009825BC"/>
    <w:rsid w:val="00987188"/>
    <w:rsid w:val="009A2C44"/>
    <w:rsid w:val="009B6DB1"/>
    <w:rsid w:val="009E13F9"/>
    <w:rsid w:val="009E23DA"/>
    <w:rsid w:val="00A35113"/>
    <w:rsid w:val="00A80216"/>
    <w:rsid w:val="00AA0EE7"/>
    <w:rsid w:val="00AB0364"/>
    <w:rsid w:val="00AB68A7"/>
    <w:rsid w:val="00AC13CC"/>
    <w:rsid w:val="00AD0694"/>
    <w:rsid w:val="00B069CA"/>
    <w:rsid w:val="00B147E9"/>
    <w:rsid w:val="00B251CE"/>
    <w:rsid w:val="00B2550C"/>
    <w:rsid w:val="00B375F0"/>
    <w:rsid w:val="00B44BBF"/>
    <w:rsid w:val="00B47A35"/>
    <w:rsid w:val="00B47F8F"/>
    <w:rsid w:val="00B6598B"/>
    <w:rsid w:val="00B6738F"/>
    <w:rsid w:val="00B72191"/>
    <w:rsid w:val="00B72C4A"/>
    <w:rsid w:val="00B874CE"/>
    <w:rsid w:val="00B95626"/>
    <w:rsid w:val="00BB4EEF"/>
    <w:rsid w:val="00BC33A1"/>
    <w:rsid w:val="00BE4F3E"/>
    <w:rsid w:val="00BF67C6"/>
    <w:rsid w:val="00C036B0"/>
    <w:rsid w:val="00C439BA"/>
    <w:rsid w:val="00C75320"/>
    <w:rsid w:val="00CA0FA8"/>
    <w:rsid w:val="00CD37F0"/>
    <w:rsid w:val="00D16017"/>
    <w:rsid w:val="00D16F70"/>
    <w:rsid w:val="00D57D83"/>
    <w:rsid w:val="00D74D44"/>
    <w:rsid w:val="00D867DC"/>
    <w:rsid w:val="00D95176"/>
    <w:rsid w:val="00DA3EC1"/>
    <w:rsid w:val="00DC457E"/>
    <w:rsid w:val="00DF2A9B"/>
    <w:rsid w:val="00E008A0"/>
    <w:rsid w:val="00E00EB2"/>
    <w:rsid w:val="00E01BDB"/>
    <w:rsid w:val="00E03156"/>
    <w:rsid w:val="00E40519"/>
    <w:rsid w:val="00E7202F"/>
    <w:rsid w:val="00E82A87"/>
    <w:rsid w:val="00E92EC1"/>
    <w:rsid w:val="00EA54E9"/>
    <w:rsid w:val="00EB3C43"/>
    <w:rsid w:val="00EC493B"/>
    <w:rsid w:val="00ED5193"/>
    <w:rsid w:val="00F37677"/>
    <w:rsid w:val="00F422A5"/>
    <w:rsid w:val="00F6616C"/>
    <w:rsid w:val="00F92398"/>
    <w:rsid w:val="00F94104"/>
    <w:rsid w:val="00FB29EC"/>
    <w:rsid w:val="00FC2C45"/>
    <w:rsid w:val="00FE3F26"/>
    <w:rsid w:val="00FE5E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75270D"/>
  <w15:chartTrackingRefBased/>
  <w15:docId w15:val="{2F75F779-A128-405E-90E4-8B360490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5AB2"/>
    <w:pPr>
      <w:keepNext/>
      <w:keepLines/>
      <w:numPr>
        <w:numId w:val="17"/>
      </w:numPr>
      <w:spacing w:after="0"/>
      <w:outlineLvl w:val="0"/>
    </w:pPr>
    <w:rPr>
      <w:rFonts w:ascii="Arial" w:eastAsiaTheme="majorEastAsia" w:hAnsi="Arial" w:cstheme="majorBidi"/>
      <w:b/>
      <w:szCs w:val="32"/>
      <w:u w:val="single"/>
    </w:rPr>
  </w:style>
  <w:style w:type="paragraph" w:styleId="Kop2">
    <w:name w:val="heading 2"/>
    <w:basedOn w:val="Standaard"/>
    <w:next w:val="Standaard"/>
    <w:link w:val="Kop2Char"/>
    <w:uiPriority w:val="9"/>
    <w:semiHidden/>
    <w:unhideWhenUsed/>
    <w:qFormat/>
    <w:rsid w:val="002A4F9A"/>
    <w:pPr>
      <w:keepNext/>
      <w:keepLines/>
      <w:numPr>
        <w:ilvl w:val="1"/>
        <w:numId w:val="17"/>
      </w:numPr>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2A4F9A"/>
    <w:pPr>
      <w:keepNext/>
      <w:keepLines/>
      <w:numPr>
        <w:ilvl w:val="2"/>
        <w:numId w:val="17"/>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2A4F9A"/>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2A4F9A"/>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2A4F9A"/>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2A4F9A"/>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2A4F9A"/>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A4F9A"/>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788C"/>
    <w:pPr>
      <w:ind w:left="720"/>
      <w:contextualSpacing/>
    </w:pPr>
  </w:style>
  <w:style w:type="character" w:customStyle="1" w:styleId="Kop1Char">
    <w:name w:val="Kop 1 Char"/>
    <w:basedOn w:val="Standaardalinea-lettertype"/>
    <w:link w:val="Kop1"/>
    <w:uiPriority w:val="9"/>
    <w:rsid w:val="006B5AB2"/>
    <w:rPr>
      <w:rFonts w:ascii="Arial" w:eastAsiaTheme="majorEastAsia" w:hAnsi="Arial" w:cstheme="majorBidi"/>
      <w:b/>
      <w:szCs w:val="32"/>
      <w:u w:val="single"/>
    </w:rPr>
  </w:style>
  <w:style w:type="paragraph" w:customStyle="1" w:styleId="Formatvorlage1">
    <w:name w:val="Formatvorlage1"/>
    <w:basedOn w:val="Standaard"/>
    <w:link w:val="Formatvorlage1Zchn"/>
    <w:qFormat/>
    <w:rsid w:val="006B5AB2"/>
    <w:pPr>
      <w:spacing w:after="0"/>
      <w:jc w:val="both"/>
    </w:pPr>
    <w:rPr>
      <w:rFonts w:ascii="Arial" w:hAnsi="Arial" w:cs="Arial"/>
      <w:b/>
      <w:u w:val="single"/>
      <w:lang w:val="en-GB"/>
    </w:rPr>
  </w:style>
  <w:style w:type="character" w:customStyle="1" w:styleId="Formatvorlage1Zchn">
    <w:name w:val="Formatvorlage1 Zchn"/>
    <w:basedOn w:val="Standaardalinea-lettertype"/>
    <w:link w:val="Formatvorlage1"/>
    <w:rsid w:val="006B5AB2"/>
    <w:rPr>
      <w:rFonts w:ascii="Arial" w:hAnsi="Arial" w:cs="Arial"/>
      <w:b/>
      <w:u w:val="single"/>
      <w:lang w:val="en-GB"/>
    </w:rPr>
  </w:style>
  <w:style w:type="character" w:styleId="Hyperlink">
    <w:name w:val="Hyperlink"/>
    <w:basedOn w:val="Standaardalinea-lettertype"/>
    <w:uiPriority w:val="99"/>
    <w:semiHidden/>
    <w:unhideWhenUsed/>
    <w:rsid w:val="00214DA9"/>
    <w:rPr>
      <w:color w:val="0563C1" w:themeColor="hyperlink"/>
      <w:u w:val="single"/>
    </w:rPr>
  </w:style>
  <w:style w:type="character" w:customStyle="1" w:styleId="Kop2Char">
    <w:name w:val="Kop 2 Char"/>
    <w:basedOn w:val="Standaardalinea-lettertype"/>
    <w:link w:val="Kop2"/>
    <w:uiPriority w:val="9"/>
    <w:semiHidden/>
    <w:rsid w:val="002A4F9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2A4F9A"/>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2A4F9A"/>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2A4F9A"/>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2A4F9A"/>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2A4F9A"/>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2A4F9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4F9A"/>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F422A5"/>
    <w:rPr>
      <w:sz w:val="16"/>
      <w:szCs w:val="16"/>
    </w:rPr>
  </w:style>
  <w:style w:type="paragraph" w:styleId="Tekstopmerking">
    <w:name w:val="annotation text"/>
    <w:basedOn w:val="Standaard"/>
    <w:link w:val="TekstopmerkingChar"/>
    <w:uiPriority w:val="99"/>
    <w:semiHidden/>
    <w:unhideWhenUsed/>
    <w:rsid w:val="00F422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22A5"/>
    <w:rPr>
      <w:sz w:val="20"/>
      <w:szCs w:val="20"/>
    </w:rPr>
  </w:style>
  <w:style w:type="paragraph" w:styleId="Onderwerpvanopmerking">
    <w:name w:val="annotation subject"/>
    <w:basedOn w:val="Tekstopmerking"/>
    <w:next w:val="Tekstopmerking"/>
    <w:link w:val="OnderwerpvanopmerkingChar"/>
    <w:uiPriority w:val="99"/>
    <w:semiHidden/>
    <w:unhideWhenUsed/>
    <w:rsid w:val="00F422A5"/>
    <w:rPr>
      <w:b/>
      <w:bCs/>
    </w:rPr>
  </w:style>
  <w:style w:type="character" w:customStyle="1" w:styleId="OnderwerpvanopmerkingChar">
    <w:name w:val="Onderwerp van opmerking Char"/>
    <w:basedOn w:val="TekstopmerkingChar"/>
    <w:link w:val="Onderwerpvanopmerking"/>
    <w:uiPriority w:val="99"/>
    <w:semiHidden/>
    <w:rsid w:val="00F422A5"/>
    <w:rPr>
      <w:b/>
      <w:bCs/>
      <w:sz w:val="20"/>
      <w:szCs w:val="20"/>
    </w:rPr>
  </w:style>
  <w:style w:type="paragraph" w:styleId="Ballontekst">
    <w:name w:val="Balloon Text"/>
    <w:basedOn w:val="Standaard"/>
    <w:link w:val="BallontekstChar"/>
    <w:uiPriority w:val="99"/>
    <w:semiHidden/>
    <w:unhideWhenUsed/>
    <w:rsid w:val="00F422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22A5"/>
    <w:rPr>
      <w:rFonts w:ascii="Segoe UI" w:hAnsi="Segoe UI" w:cs="Segoe UI"/>
      <w:sz w:val="18"/>
      <w:szCs w:val="18"/>
    </w:rPr>
  </w:style>
  <w:style w:type="paragraph" w:styleId="Koptekst">
    <w:name w:val="header"/>
    <w:basedOn w:val="Standaard"/>
    <w:link w:val="KoptekstChar"/>
    <w:uiPriority w:val="99"/>
    <w:unhideWhenUsed/>
    <w:rsid w:val="00142F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2F70"/>
  </w:style>
  <w:style w:type="paragraph" w:styleId="Voettekst">
    <w:name w:val="footer"/>
    <w:basedOn w:val="Standaard"/>
    <w:link w:val="VoettekstChar"/>
    <w:uiPriority w:val="99"/>
    <w:unhideWhenUsed/>
    <w:rsid w:val="00142F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2F70"/>
  </w:style>
  <w:style w:type="paragraph" w:styleId="Bijschrift">
    <w:name w:val="caption"/>
    <w:basedOn w:val="Standaard"/>
    <w:next w:val="Standaard"/>
    <w:uiPriority w:val="35"/>
    <w:unhideWhenUsed/>
    <w:qFormat/>
    <w:rsid w:val="00532C4F"/>
    <w:pPr>
      <w:spacing w:after="200" w:line="240" w:lineRule="auto"/>
    </w:pPr>
    <w:rPr>
      <w:i/>
      <w:iCs/>
      <w:color w:val="44546A" w:themeColor="text2"/>
      <w:sz w:val="18"/>
      <w:szCs w:val="18"/>
    </w:rPr>
  </w:style>
  <w:style w:type="character" w:styleId="Intensieveverwijzing">
    <w:name w:val="Intense Reference"/>
    <w:basedOn w:val="Standaardalinea-lettertype"/>
    <w:uiPriority w:val="32"/>
    <w:qFormat/>
    <w:rsid w:val="002912F2"/>
    <w:rPr>
      <w:b/>
      <w:bCs/>
      <w:smallCaps/>
      <w:color w:val="5B9BD5" w:themeColor="accent1"/>
      <w:spacing w:val="5"/>
    </w:rPr>
  </w:style>
  <w:style w:type="paragraph" w:styleId="Duidelijkcitaat">
    <w:name w:val="Intense Quote"/>
    <w:basedOn w:val="Standaard"/>
    <w:next w:val="Standaard"/>
    <w:link w:val="DuidelijkcitaatChar"/>
    <w:uiPriority w:val="30"/>
    <w:qFormat/>
    <w:rsid w:val="00DF2A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DF2A9B"/>
    <w:rPr>
      <w:i/>
      <w:iCs/>
      <w:color w:val="5B9BD5" w:themeColor="accent1"/>
    </w:rPr>
  </w:style>
  <w:style w:type="character" w:styleId="Zwaar">
    <w:name w:val="Strong"/>
    <w:basedOn w:val="Standaardalinea-lettertype"/>
    <w:uiPriority w:val="22"/>
    <w:qFormat/>
    <w:rsid w:val="00BF6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2497">
      <w:bodyDiv w:val="1"/>
      <w:marLeft w:val="0"/>
      <w:marRight w:val="0"/>
      <w:marTop w:val="0"/>
      <w:marBottom w:val="0"/>
      <w:divBdr>
        <w:top w:val="none" w:sz="0" w:space="0" w:color="auto"/>
        <w:left w:val="none" w:sz="0" w:space="0" w:color="auto"/>
        <w:bottom w:val="none" w:sz="0" w:space="0" w:color="auto"/>
        <w:right w:val="none" w:sz="0" w:space="0" w:color="auto"/>
      </w:divBdr>
    </w:div>
    <w:div w:id="128405898">
      <w:bodyDiv w:val="1"/>
      <w:marLeft w:val="0"/>
      <w:marRight w:val="0"/>
      <w:marTop w:val="0"/>
      <w:marBottom w:val="0"/>
      <w:divBdr>
        <w:top w:val="none" w:sz="0" w:space="0" w:color="auto"/>
        <w:left w:val="none" w:sz="0" w:space="0" w:color="auto"/>
        <w:bottom w:val="none" w:sz="0" w:space="0" w:color="auto"/>
        <w:right w:val="none" w:sz="0" w:space="0" w:color="auto"/>
      </w:divBdr>
    </w:div>
    <w:div w:id="544832108">
      <w:bodyDiv w:val="1"/>
      <w:marLeft w:val="0"/>
      <w:marRight w:val="0"/>
      <w:marTop w:val="0"/>
      <w:marBottom w:val="0"/>
      <w:divBdr>
        <w:top w:val="none" w:sz="0" w:space="0" w:color="auto"/>
        <w:left w:val="none" w:sz="0" w:space="0" w:color="auto"/>
        <w:bottom w:val="none" w:sz="0" w:space="0" w:color="auto"/>
        <w:right w:val="none" w:sz="0" w:space="0" w:color="auto"/>
      </w:divBdr>
    </w:div>
    <w:div w:id="1045250539">
      <w:bodyDiv w:val="1"/>
      <w:marLeft w:val="0"/>
      <w:marRight w:val="0"/>
      <w:marTop w:val="0"/>
      <w:marBottom w:val="0"/>
      <w:divBdr>
        <w:top w:val="none" w:sz="0" w:space="0" w:color="auto"/>
        <w:left w:val="none" w:sz="0" w:space="0" w:color="auto"/>
        <w:bottom w:val="none" w:sz="0" w:space="0" w:color="auto"/>
        <w:right w:val="none" w:sz="0" w:space="0" w:color="auto"/>
      </w:divBdr>
    </w:div>
    <w:div w:id="1082291549">
      <w:bodyDiv w:val="1"/>
      <w:marLeft w:val="0"/>
      <w:marRight w:val="0"/>
      <w:marTop w:val="0"/>
      <w:marBottom w:val="0"/>
      <w:divBdr>
        <w:top w:val="none" w:sz="0" w:space="0" w:color="auto"/>
        <w:left w:val="none" w:sz="0" w:space="0" w:color="auto"/>
        <w:bottom w:val="none" w:sz="0" w:space="0" w:color="auto"/>
        <w:right w:val="none" w:sz="0" w:space="0" w:color="auto"/>
      </w:divBdr>
    </w:div>
    <w:div w:id="1099983233">
      <w:bodyDiv w:val="1"/>
      <w:marLeft w:val="0"/>
      <w:marRight w:val="0"/>
      <w:marTop w:val="0"/>
      <w:marBottom w:val="0"/>
      <w:divBdr>
        <w:top w:val="none" w:sz="0" w:space="0" w:color="auto"/>
        <w:left w:val="none" w:sz="0" w:space="0" w:color="auto"/>
        <w:bottom w:val="none" w:sz="0" w:space="0" w:color="auto"/>
        <w:right w:val="none" w:sz="0" w:space="0" w:color="auto"/>
      </w:divBdr>
    </w:div>
    <w:div w:id="18431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24C0-8AF7-4FD6-B810-C2127F71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9682</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dena</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Melches, Oliver</dc:creator>
  <cp:keywords/>
  <dc:description/>
  <cp:lastModifiedBy>Keesom, S. (Sander)</cp:lastModifiedBy>
  <cp:revision>2</cp:revision>
  <dcterms:created xsi:type="dcterms:W3CDTF">2021-06-10T11:03:00Z</dcterms:created>
  <dcterms:modified xsi:type="dcterms:W3CDTF">2021-06-10T11:03:00Z</dcterms:modified>
</cp:coreProperties>
</file>