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BE00" w14:textId="556073E3" w:rsidR="00CA62D5" w:rsidRPr="00BB664C" w:rsidRDefault="00CA62D5" w:rsidP="00AC010E">
      <w:pPr>
        <w:pStyle w:val="Kop1"/>
        <w:rPr>
          <w:lang w:val="en-US"/>
        </w:rPr>
      </w:pPr>
      <w:proofErr w:type="spellStart"/>
      <w:r w:rsidRPr="00BB664C">
        <w:rPr>
          <w:lang w:val="en-US"/>
        </w:rPr>
        <w:t>Clawback</w:t>
      </w:r>
      <w:proofErr w:type="spellEnd"/>
      <w:r w:rsidRPr="00BB664C">
        <w:rPr>
          <w:lang w:val="en-US"/>
        </w:rPr>
        <w:t>-Mechanism for the IPCEI Hydrogen</w:t>
      </w:r>
      <w:r w:rsidR="00A90822">
        <w:rPr>
          <w:lang w:val="en-US"/>
        </w:rPr>
        <w:t xml:space="preserve"> – waves Industry, RHATL, Mobility</w:t>
      </w:r>
    </w:p>
    <w:p w14:paraId="2E63F39F" w14:textId="77777777" w:rsidR="00AC010E" w:rsidRPr="00BB664C" w:rsidRDefault="00AC010E" w:rsidP="00AC010E">
      <w:pPr>
        <w:rPr>
          <w:lang w:val="en-US"/>
        </w:rPr>
      </w:pPr>
    </w:p>
    <w:p w14:paraId="4B85EAA3" w14:textId="77777777" w:rsidR="00CA62D5" w:rsidRPr="00BB664C" w:rsidRDefault="00CA62D5" w:rsidP="00CA62D5">
      <w:pPr>
        <w:rPr>
          <w:u w:val="single"/>
          <w:lang w:val="en-US"/>
        </w:rPr>
      </w:pPr>
      <w:r w:rsidRPr="00BB664C">
        <w:rPr>
          <w:b/>
          <w:u w:val="single"/>
          <w:lang w:val="en-US"/>
        </w:rPr>
        <w:t>Summary</w:t>
      </w:r>
    </w:p>
    <w:p w14:paraId="6B873AD1" w14:textId="1A8A8F9D" w:rsidR="00CA62D5" w:rsidRPr="00BB664C" w:rsidRDefault="00CA62D5" w:rsidP="00CA62D5">
      <w:pPr>
        <w:pStyle w:val="Lijstalinea"/>
        <w:numPr>
          <w:ilvl w:val="0"/>
          <w:numId w:val="3"/>
        </w:numPr>
        <w:rPr>
          <w:lang w:val="en-US"/>
        </w:rPr>
      </w:pPr>
      <w:r w:rsidRPr="00BB664C">
        <w:rPr>
          <w:i/>
          <w:lang w:val="en-US"/>
        </w:rPr>
        <w:t>Application threshold</w:t>
      </w:r>
      <w:r w:rsidRPr="00BB664C">
        <w:rPr>
          <w:lang w:val="en-US"/>
        </w:rPr>
        <w:t xml:space="preserve">: Mechanism applies to all </w:t>
      </w:r>
      <w:r w:rsidR="00A6373D" w:rsidRPr="00BB664C">
        <w:rPr>
          <w:lang w:val="en-US"/>
        </w:rPr>
        <w:t>projects</w:t>
      </w:r>
      <w:r w:rsidR="00984654" w:rsidRPr="00BB664C">
        <w:rPr>
          <w:lang w:val="en-US"/>
        </w:rPr>
        <w:t xml:space="preserve"> having funded more than </w:t>
      </w:r>
      <w:r w:rsidRPr="00BB664C">
        <w:rPr>
          <w:lang w:val="en-US"/>
        </w:rPr>
        <w:t>50 Mio EUR</w:t>
      </w:r>
      <w:r w:rsidR="00984654" w:rsidRPr="00BB664C">
        <w:rPr>
          <w:lang w:val="en-US"/>
        </w:rPr>
        <w:t xml:space="preserve"> of aid in the IPCEI hydrogen</w:t>
      </w:r>
      <w:r w:rsidR="00A6373D" w:rsidRPr="00BB664C">
        <w:rPr>
          <w:lang w:val="en-US"/>
        </w:rPr>
        <w:t>, in nominal terms</w:t>
      </w:r>
      <w:r w:rsidRPr="00BB664C">
        <w:rPr>
          <w:lang w:val="en-US"/>
        </w:rPr>
        <w:t>.</w:t>
      </w:r>
    </w:p>
    <w:p w14:paraId="3DE84855" w14:textId="72B384EF" w:rsidR="00CA62D5" w:rsidRPr="00BB664C" w:rsidRDefault="00CA62D5" w:rsidP="00F81007">
      <w:pPr>
        <w:pStyle w:val="Lijstalinea"/>
        <w:numPr>
          <w:ilvl w:val="0"/>
          <w:numId w:val="3"/>
        </w:numPr>
        <w:rPr>
          <w:lang w:val="en-US"/>
        </w:rPr>
      </w:pPr>
      <w:r w:rsidRPr="00BB664C">
        <w:rPr>
          <w:i/>
          <w:lang w:val="en-US"/>
        </w:rPr>
        <w:t>End date</w:t>
      </w:r>
      <w:r w:rsidRPr="00BB664C">
        <w:rPr>
          <w:lang w:val="en-US"/>
        </w:rPr>
        <w:t>: End of project lifetime, here set as equal to last year included in the FGA</w:t>
      </w:r>
      <w:r w:rsidR="00F81007">
        <w:rPr>
          <w:lang w:val="en-US"/>
        </w:rPr>
        <w:t xml:space="preserve"> (</w:t>
      </w:r>
      <w:r w:rsidR="00F81007" w:rsidRPr="00F81007">
        <w:rPr>
          <w:lang w:val="en-US"/>
        </w:rPr>
        <w:t xml:space="preserve">In the event of delays in commissioning or completion of the FID phase, </w:t>
      </w:r>
      <w:r w:rsidR="000576D4">
        <w:rPr>
          <w:lang w:val="en-US"/>
        </w:rPr>
        <w:t xml:space="preserve">the end date will be </w:t>
      </w:r>
      <w:r w:rsidR="00F81007" w:rsidRPr="00F81007">
        <w:rPr>
          <w:lang w:val="en-US"/>
        </w:rPr>
        <w:t>extended accordingly.</w:t>
      </w:r>
      <w:r w:rsidR="00F81007">
        <w:rPr>
          <w:lang w:val="en-US"/>
        </w:rPr>
        <w:t>)</w:t>
      </w:r>
      <w:r w:rsidRPr="00BB664C">
        <w:rPr>
          <w:lang w:val="en-US"/>
        </w:rPr>
        <w:t>.</w:t>
      </w:r>
    </w:p>
    <w:p w14:paraId="3A08D74C" w14:textId="66EA9CC5" w:rsidR="00E850AD" w:rsidRPr="00BB664C" w:rsidRDefault="00E850AD" w:rsidP="008E471F">
      <w:pPr>
        <w:ind w:firstLine="360"/>
        <w:rPr>
          <w:lang w:val="en-US"/>
        </w:rPr>
      </w:pPr>
      <w:r w:rsidRPr="00BB664C">
        <w:rPr>
          <w:lang w:val="en-US"/>
        </w:rPr>
        <w:t xml:space="preserve">As to determine the height of the repayment obligation: </w:t>
      </w:r>
    </w:p>
    <w:p w14:paraId="132BA7A5" w14:textId="53F1E86C" w:rsidR="00363B4A" w:rsidRPr="00BB664C" w:rsidRDefault="00363B4A" w:rsidP="00CA62D5">
      <w:pPr>
        <w:pStyle w:val="Lijstalinea"/>
        <w:numPr>
          <w:ilvl w:val="0"/>
          <w:numId w:val="3"/>
        </w:numPr>
        <w:rPr>
          <w:lang w:val="en-US"/>
        </w:rPr>
      </w:pPr>
      <w:r w:rsidRPr="00BB664C">
        <w:rPr>
          <w:i/>
          <w:lang w:val="en-US"/>
        </w:rPr>
        <w:t xml:space="preserve">Payback: </w:t>
      </w:r>
      <w:r w:rsidR="00C96EAA" w:rsidRPr="00BB664C">
        <w:rPr>
          <w:lang w:val="en-US"/>
        </w:rPr>
        <w:t xml:space="preserve">Only if project leads to surplus: In that case, the lower </w:t>
      </w:r>
      <w:r w:rsidR="00C96EAA" w:rsidRPr="0063281E">
        <w:rPr>
          <w:color w:val="000000" w:themeColor="text1"/>
          <w:lang w:val="en-US"/>
        </w:rPr>
        <w:t xml:space="preserve">of </w:t>
      </w:r>
      <w:r w:rsidR="00073CD1" w:rsidRPr="0063281E">
        <w:rPr>
          <w:color w:val="000000" w:themeColor="text1"/>
          <w:lang w:val="en-US"/>
        </w:rPr>
        <w:t>60</w:t>
      </w:r>
      <w:r w:rsidR="00C96EAA" w:rsidRPr="0063281E">
        <w:rPr>
          <w:color w:val="000000" w:themeColor="text1"/>
          <w:lang w:val="en-US"/>
        </w:rPr>
        <w:t xml:space="preserve">% of the </w:t>
      </w:r>
      <w:r w:rsidR="00C96EAA" w:rsidRPr="00BB664C">
        <w:rPr>
          <w:lang w:val="en-US"/>
        </w:rPr>
        <w:t>surplus or the received state aid after interest.</w:t>
      </w:r>
      <w:r w:rsidR="00AC010E" w:rsidRPr="00BB664C">
        <w:rPr>
          <w:lang w:val="en-US"/>
        </w:rPr>
        <w:t xml:space="preserve"> </w:t>
      </w:r>
    </w:p>
    <w:p w14:paraId="259527E1" w14:textId="774ECFEC" w:rsidR="00E850AD" w:rsidRPr="00BB664C" w:rsidRDefault="00363B4A" w:rsidP="00E850AD">
      <w:pPr>
        <w:pStyle w:val="Lijstalinea"/>
        <w:numPr>
          <w:ilvl w:val="0"/>
          <w:numId w:val="3"/>
        </w:numPr>
        <w:rPr>
          <w:lang w:val="en-US"/>
        </w:rPr>
      </w:pPr>
      <w:r w:rsidRPr="00BB664C">
        <w:rPr>
          <w:i/>
          <w:lang w:val="en-US"/>
        </w:rPr>
        <w:t>Interest rate</w:t>
      </w:r>
      <w:r w:rsidR="00A6373D" w:rsidRPr="00BB664C">
        <w:rPr>
          <w:i/>
          <w:lang w:val="en-US"/>
        </w:rPr>
        <w:t xml:space="preserve"> (</w:t>
      </w:r>
      <w:proofErr w:type="spellStart"/>
      <w:r w:rsidR="00A6373D" w:rsidRPr="00BB664C">
        <w:rPr>
          <w:i/>
          <w:lang w:val="en-US"/>
        </w:rPr>
        <w:t>r</w:t>
      </w:r>
      <w:r w:rsidR="00CB4685">
        <w:rPr>
          <w:i/>
          <w:vertAlign w:val="subscript"/>
          <w:lang w:val="en-US"/>
        </w:rPr>
        <w:t>k</w:t>
      </w:r>
      <w:proofErr w:type="spellEnd"/>
      <w:r w:rsidR="00A6373D" w:rsidRPr="00BB664C">
        <w:rPr>
          <w:i/>
          <w:lang w:val="en-US"/>
        </w:rPr>
        <w:t>)</w:t>
      </w:r>
      <w:r w:rsidRPr="00BB664C">
        <w:rPr>
          <w:lang w:val="en-US"/>
        </w:rPr>
        <w:t xml:space="preserve">: </w:t>
      </w:r>
      <w:r w:rsidR="007B4E4C" w:rsidRPr="00BB664C">
        <w:rPr>
          <w:iCs/>
          <w:lang w:val="en-US"/>
        </w:rPr>
        <w:t>The interest rate (</w:t>
      </w:r>
      <w:proofErr w:type="spellStart"/>
      <w:r w:rsidR="007B4E4C" w:rsidRPr="00BB664C">
        <w:rPr>
          <w:iCs/>
          <w:lang w:val="en-US"/>
        </w:rPr>
        <w:t>r</w:t>
      </w:r>
      <w:r w:rsidR="00CB4685">
        <w:rPr>
          <w:iCs/>
          <w:vertAlign w:val="subscript"/>
          <w:lang w:val="en-US"/>
        </w:rPr>
        <w:t>k</w:t>
      </w:r>
      <w:proofErr w:type="spellEnd"/>
      <w:r w:rsidR="007B4E4C" w:rsidRPr="00BB664C">
        <w:rPr>
          <w:iCs/>
          <w:lang w:val="en-US"/>
        </w:rPr>
        <w:t xml:space="preserve">) will be the </w:t>
      </w:r>
      <w:r w:rsidR="007B4E4C" w:rsidRPr="00BB664C">
        <w:rPr>
          <w:rFonts w:cstheme="minorHAnsi"/>
          <w:lang w:val="en-US"/>
        </w:rPr>
        <w:t>EU reference rate applicable to the Member State concerned according to the Commission's communication on setting the reference and discount rates</w:t>
      </w:r>
      <w:r w:rsidR="007B4E4C" w:rsidRPr="00BB664C">
        <w:rPr>
          <w:rStyle w:val="Voetnootmarkering"/>
        </w:rPr>
        <w:footnoteReference w:id="1"/>
      </w:r>
      <w:r w:rsidR="007B4E4C" w:rsidRPr="00BB664C">
        <w:rPr>
          <w:rFonts w:cstheme="minorHAnsi"/>
          <w:lang w:val="en-US"/>
        </w:rPr>
        <w:t xml:space="preserve"> applicable at year “</w:t>
      </w:r>
      <w:r w:rsidR="00CB4685">
        <w:rPr>
          <w:rFonts w:cstheme="minorHAnsi"/>
          <w:lang w:val="en-US"/>
        </w:rPr>
        <w:t>k</w:t>
      </w:r>
      <w:r w:rsidR="007B4E4C" w:rsidRPr="00BB664C">
        <w:rPr>
          <w:rFonts w:cstheme="minorHAnsi"/>
          <w:lang w:val="en-US"/>
        </w:rPr>
        <w:t xml:space="preserve">”, </w:t>
      </w:r>
      <w:r w:rsidR="007B4E4C" w:rsidRPr="00BB664C">
        <w:rPr>
          <w:iCs/>
          <w:lang w:val="en-US"/>
        </w:rPr>
        <w:t>increased by 100 basis points between the corresponding disbursement and year “i”.</w:t>
      </w:r>
      <w:r w:rsidR="00AC010E" w:rsidRPr="00BB664C">
        <w:rPr>
          <w:lang w:val="en-US"/>
        </w:rPr>
        <w:t xml:space="preserve"> </w:t>
      </w:r>
    </w:p>
    <w:p w14:paraId="371DC700" w14:textId="06678268" w:rsidR="00B86C72" w:rsidRPr="00BB664C" w:rsidRDefault="009F3B2A" w:rsidP="009F3B2A">
      <w:pPr>
        <w:pStyle w:val="Lijstalinea"/>
        <w:rPr>
          <w:lang w:val="en-US"/>
        </w:rPr>
      </w:pPr>
      <w:r w:rsidRPr="00BB664C">
        <w:rPr>
          <w:i/>
          <w:lang w:val="en-US"/>
        </w:rPr>
        <w:br/>
        <w:t xml:space="preserve">Where </w:t>
      </w:r>
      <w:r w:rsidR="00B86C72" w:rsidRPr="00BB664C">
        <w:rPr>
          <w:i/>
          <w:lang w:val="en-US"/>
        </w:rPr>
        <w:t xml:space="preserve">i= </w:t>
      </w:r>
      <w:r w:rsidR="005005A1" w:rsidRPr="00BB664C">
        <w:rPr>
          <w:lang w:val="en-US"/>
        </w:rPr>
        <w:t xml:space="preserve">year of test-run </w:t>
      </w:r>
      <w:r w:rsidR="00FB6A2E" w:rsidRPr="00BB664C">
        <w:rPr>
          <w:rFonts w:ascii="Calibri" w:hAnsi="Calibri" w:cs="Calibri"/>
          <w:lang w:val="en-US"/>
        </w:rPr>
        <w:t>ϵ</w:t>
      </w:r>
      <w:r w:rsidR="005005A1" w:rsidRPr="00BB664C">
        <w:rPr>
          <w:lang w:val="en-US"/>
        </w:rPr>
        <w:t xml:space="preserve"> </w:t>
      </w:r>
      <w:r w:rsidR="00FB6A2E" w:rsidRPr="00BB664C">
        <w:rPr>
          <w:rFonts w:cstheme="minorHAnsi"/>
          <w:lang w:val="en-US"/>
        </w:rPr>
        <w:t>{</w:t>
      </w:r>
      <w:r w:rsidR="005005A1" w:rsidRPr="00BB664C">
        <w:rPr>
          <w:lang w:val="en-US"/>
        </w:rPr>
        <w:t>2027, 202</w:t>
      </w:r>
      <w:r w:rsidR="00A2704E" w:rsidRPr="00BB664C">
        <w:rPr>
          <w:lang w:val="en-US"/>
        </w:rPr>
        <w:t>8</w:t>
      </w:r>
      <w:r w:rsidR="005005A1" w:rsidRPr="00BB664C">
        <w:rPr>
          <w:lang w:val="en-US"/>
        </w:rPr>
        <w:t>, 20</w:t>
      </w:r>
      <w:r w:rsidR="00BB34BE" w:rsidRPr="00BB664C">
        <w:rPr>
          <w:lang w:val="en-US"/>
        </w:rPr>
        <w:t>2</w:t>
      </w:r>
      <w:r w:rsidR="00A2704E" w:rsidRPr="00BB664C">
        <w:rPr>
          <w:lang w:val="en-US"/>
        </w:rPr>
        <w:t>9</w:t>
      </w:r>
      <w:r w:rsidR="005005A1" w:rsidRPr="00BB664C">
        <w:rPr>
          <w:lang w:val="en-US"/>
        </w:rPr>
        <w:t>,...</w:t>
      </w:r>
      <w:r w:rsidR="00D96226" w:rsidRPr="00BB664C">
        <w:rPr>
          <w:lang w:val="en-US"/>
        </w:rPr>
        <w:t xml:space="preserve"> ,</w:t>
      </w:r>
      <w:r w:rsidR="005005A1" w:rsidRPr="00BB664C">
        <w:rPr>
          <w:lang w:val="en-US"/>
        </w:rPr>
        <w:t xml:space="preserve"> end date</w:t>
      </w:r>
      <w:r w:rsidR="00FB6A2E" w:rsidRPr="00BB664C">
        <w:rPr>
          <w:rFonts w:cstheme="minorHAnsi"/>
          <w:lang w:val="en-US"/>
        </w:rPr>
        <w:t>}</w:t>
      </w:r>
    </w:p>
    <w:p w14:paraId="071B682F" w14:textId="6C76225F" w:rsidR="00E850AD" w:rsidRPr="00BB664C" w:rsidRDefault="00E850AD" w:rsidP="008E471F">
      <w:pPr>
        <w:ind w:left="360"/>
        <w:rPr>
          <w:lang w:val="en-US"/>
        </w:rPr>
      </w:pPr>
      <w:r w:rsidRPr="00BB664C">
        <w:rPr>
          <w:lang w:val="en-US"/>
        </w:rPr>
        <w:t xml:space="preserve">As to determine the surplus: </w:t>
      </w:r>
    </w:p>
    <w:p w14:paraId="658BBD04" w14:textId="685D6542" w:rsidR="00CA62D5" w:rsidRPr="00BB664C" w:rsidRDefault="00363B4A" w:rsidP="004611DE">
      <w:pPr>
        <w:pStyle w:val="Lijstalinea"/>
        <w:numPr>
          <w:ilvl w:val="0"/>
          <w:numId w:val="3"/>
        </w:numPr>
        <w:rPr>
          <w:lang w:val="en-US"/>
        </w:rPr>
      </w:pPr>
      <w:r w:rsidRPr="00BB664C">
        <w:rPr>
          <w:i/>
          <w:lang w:val="en-US"/>
        </w:rPr>
        <w:t>ETS</w:t>
      </w:r>
      <w:r w:rsidRPr="00BB664C">
        <w:rPr>
          <w:lang w:val="en-US"/>
        </w:rPr>
        <w:t>:</w:t>
      </w:r>
      <w:r w:rsidR="000E572F">
        <w:rPr>
          <w:lang w:val="en-US"/>
        </w:rPr>
        <w:t xml:space="preserve"> In the ex post figures of the project the beneficiary has to make explicit how CO2 costs were accounted for and if applicable also justify and account for underlying regulatory mechanisms leading to CO2 – cost “savings” </w:t>
      </w:r>
    </w:p>
    <w:p w14:paraId="0440B660" w14:textId="245271D8" w:rsidR="001D1E49" w:rsidRDefault="001C29BB" w:rsidP="000E572F">
      <w:pPr>
        <w:pStyle w:val="Lijstalinea"/>
        <w:numPr>
          <w:ilvl w:val="0"/>
          <w:numId w:val="3"/>
        </w:numPr>
        <w:rPr>
          <w:lang w:val="en-US"/>
        </w:rPr>
      </w:pPr>
      <w:r w:rsidRPr="00BB664C">
        <w:rPr>
          <w:i/>
          <w:lang w:val="en-US"/>
        </w:rPr>
        <w:t xml:space="preserve">Hydrogen </w:t>
      </w:r>
      <w:r w:rsidRPr="00BB664C">
        <w:rPr>
          <w:lang w:val="en-US"/>
        </w:rPr>
        <w:t xml:space="preserve">price: </w:t>
      </w:r>
      <w:r w:rsidR="000E572F" w:rsidRPr="000E572F">
        <w:rPr>
          <w:lang w:val="en-US"/>
        </w:rPr>
        <w:t>For inputs and outputs where a market price can be computed, if the ex post figures of the project, which have been subject to annual approval by an independent auditor, are far from the market price (</w:t>
      </w:r>
      <w:proofErr w:type="spellStart"/>
      <w:r w:rsidR="000E572F" w:rsidRPr="000E572F">
        <w:rPr>
          <w:lang w:val="en-US"/>
        </w:rPr>
        <w:t>nb.</w:t>
      </w:r>
      <w:proofErr w:type="spellEnd"/>
      <w:r w:rsidR="000E572F" w:rsidRPr="000E572F">
        <w:rPr>
          <w:lang w:val="en-US"/>
        </w:rPr>
        <w:t xml:space="preserve"> the gap amount could be specified later on)  , evidence shall be provided by the aid beneficiary to duly justify the gap between the market price and the figures of the project. In case of insufficient evidence, the relevant market price shall be used to compute the surplus of the project, and thus apply the </w:t>
      </w:r>
      <w:proofErr w:type="spellStart"/>
      <w:r w:rsidR="000E572F" w:rsidRPr="000E572F">
        <w:rPr>
          <w:lang w:val="en-US"/>
        </w:rPr>
        <w:t>clawback</w:t>
      </w:r>
      <w:proofErr w:type="spellEnd"/>
    </w:p>
    <w:p w14:paraId="59347D94" w14:textId="258526E5" w:rsidR="001D1E49" w:rsidRPr="00BB664C" w:rsidRDefault="00A6373D" w:rsidP="001D1E49">
      <w:pPr>
        <w:rPr>
          <w:lang w:val="en-GB"/>
        </w:rPr>
      </w:pPr>
      <w:r w:rsidRPr="00BB664C">
        <w:rPr>
          <w:b/>
          <w:u w:val="single"/>
          <w:lang w:val="en-GB"/>
        </w:rPr>
        <w:t xml:space="preserve">Basics </w:t>
      </w:r>
    </w:p>
    <w:p w14:paraId="6AA08C94" w14:textId="4ED9152C" w:rsidR="005005A1" w:rsidRPr="00BB664C" w:rsidRDefault="00A6373D" w:rsidP="004340FB">
      <w:pPr>
        <w:rPr>
          <w:rFonts w:eastAsiaTheme="minorEastAsia"/>
          <w:lang w:val="en-US"/>
        </w:rPr>
      </w:pPr>
      <w:r w:rsidRPr="00BB664C">
        <w:rPr>
          <w:lang w:val="en-US"/>
        </w:rPr>
        <w:t xml:space="preserve">The idea is to have funding paid back, if the project shows a surplus after aid has been disbursed: </w:t>
      </w:r>
    </w:p>
    <w:p w14:paraId="6DFCDA6C" w14:textId="1EE19F19" w:rsidR="005005A1" w:rsidRPr="00BB664C" w:rsidRDefault="00A334DA" w:rsidP="00A6373D">
      <w:pPr>
        <w:jc w:val="center"/>
        <w:rPr>
          <w:lang w:val="en-US"/>
        </w:rPr>
      </w:pPr>
      <m:oMathPara>
        <m:oMath>
          <m:sSub>
            <m:sSubPr>
              <m:ctrlPr>
                <w:rPr>
                  <w:rFonts w:ascii="Cambria Math" w:hAnsi="Cambria Math" w:cs="Arial"/>
                  <w:i/>
                  <w:sz w:val="20"/>
                  <w:szCs w:val="20"/>
                </w:rPr>
              </m:ctrlPr>
            </m:sSubPr>
            <m:e>
              <m:r>
                <w:rPr>
                  <w:rFonts w:ascii="Cambria Math" w:hAnsi="Cambria Math" w:cs="Arial"/>
                  <w:sz w:val="20"/>
                  <w:szCs w:val="20"/>
                </w:rPr>
                <m:t>SurPlus</m:t>
              </m:r>
            </m:e>
            <m:sub>
              <m:r>
                <w:rPr>
                  <w:rFonts w:ascii="Cambria Math" w:hAnsi="Cambria Math" w:cs="Arial"/>
                  <w:sz w:val="20"/>
                  <w:szCs w:val="20"/>
                </w:rPr>
                <m:t>i</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sSub>
                <m:sSubPr>
                  <m:ctrlPr>
                    <w:rPr>
                      <w:rFonts w:ascii="Cambria Math" w:hAnsi="Cambria Math" w:cs="Arial"/>
                      <w:i/>
                      <w:sz w:val="20"/>
                      <w:szCs w:val="20"/>
                    </w:rPr>
                  </m:ctrlPr>
                </m:sSubPr>
                <m:e>
                  <m:r>
                    <w:rPr>
                      <w:rFonts w:ascii="Cambria Math" w:hAnsi="Cambria Math" w:cs="Arial"/>
                      <w:sz w:val="20"/>
                      <w:szCs w:val="20"/>
                    </w:rPr>
                    <m:t>CF</m:t>
                  </m:r>
                </m:e>
                <m:sub>
                  <m:r>
                    <w:rPr>
                      <w:rFonts w:ascii="Cambria Math" w:hAnsi="Cambria Math" w:cs="Arial"/>
                      <w:sz w:val="20"/>
                      <w:szCs w:val="20"/>
                    </w:rPr>
                    <m:t>k</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(1+WACC)</m:t>
                  </m:r>
                </m:e>
                <m:sup>
                  <m:r>
                    <w:rPr>
                      <w:rFonts w:ascii="Cambria Math" w:hAnsi="Cambria Math" w:cs="Arial"/>
                      <w:sz w:val="20"/>
                      <w:szCs w:val="20"/>
                    </w:rPr>
                    <m:t>(i-k)</m:t>
                  </m:r>
                </m:sup>
              </m:sSup>
            </m:e>
          </m:nary>
        </m:oMath>
      </m:oMathPara>
    </w:p>
    <w:p w14:paraId="576BA191" w14:textId="53260E2E" w:rsidR="005005A1" w:rsidRPr="00BB664C" w:rsidRDefault="005005A1" w:rsidP="005005A1">
      <w:pPr>
        <w:rPr>
          <w:lang w:val="en-US"/>
        </w:rPr>
      </w:pPr>
      <w:proofErr w:type="spellStart"/>
      <w:r w:rsidRPr="00BB664C">
        <w:rPr>
          <w:i/>
          <w:lang w:val="en-US"/>
        </w:rPr>
        <w:t>CF</w:t>
      </w:r>
      <w:r w:rsidRPr="00BB664C">
        <w:rPr>
          <w:i/>
          <w:vertAlign w:val="subscript"/>
          <w:lang w:val="en-US"/>
        </w:rPr>
        <w:t>k</w:t>
      </w:r>
      <w:proofErr w:type="spellEnd"/>
      <w:r w:rsidRPr="00BB664C">
        <w:rPr>
          <w:lang w:val="en-US"/>
        </w:rPr>
        <w:t xml:space="preserve"> = actual ex post audited post-tax cash flow in year </w:t>
      </w:r>
      <w:r w:rsidRPr="00BB664C">
        <w:rPr>
          <w:i/>
          <w:lang w:val="en-US"/>
        </w:rPr>
        <w:t>k</w:t>
      </w:r>
      <w:r w:rsidRPr="00BB664C">
        <w:rPr>
          <w:lang w:val="en-US"/>
        </w:rPr>
        <w:t xml:space="preserve"> (including Capex, State aid payments and indirect subsidies; excluding financing cash flows)</w:t>
      </w:r>
    </w:p>
    <w:p w14:paraId="75FAEED9" w14:textId="6D752AE0" w:rsidR="005005A1" w:rsidRPr="00BB664C" w:rsidRDefault="005005A1" w:rsidP="005005A1">
      <w:pPr>
        <w:rPr>
          <w:lang w:val="en-US"/>
        </w:rPr>
      </w:pPr>
      <w:r w:rsidRPr="00BB664C">
        <w:rPr>
          <w:lang w:val="en-US"/>
        </w:rPr>
        <w:t xml:space="preserve">i = year of test-run </w:t>
      </w:r>
      <w:r w:rsidR="00FB6A2E" w:rsidRPr="00BB664C">
        <w:rPr>
          <w:rFonts w:ascii="Calibri" w:hAnsi="Calibri" w:cs="Calibri"/>
          <w:lang w:val="en-US"/>
        </w:rPr>
        <w:t>ϵ</w:t>
      </w:r>
      <w:r w:rsidR="00FB6A2E" w:rsidRPr="00BB664C">
        <w:rPr>
          <w:lang w:val="en-US"/>
        </w:rPr>
        <w:t xml:space="preserve"> </w:t>
      </w:r>
      <w:r w:rsidR="00FB6A2E" w:rsidRPr="00BB664C">
        <w:rPr>
          <w:rFonts w:cstheme="minorHAnsi"/>
          <w:lang w:val="en-US"/>
        </w:rPr>
        <w:t>{</w:t>
      </w:r>
      <w:r w:rsidRPr="00BB664C">
        <w:rPr>
          <w:lang w:val="en-US"/>
        </w:rPr>
        <w:t>2027, ..., end date</w:t>
      </w:r>
      <w:r w:rsidR="00FB6A2E" w:rsidRPr="00BB664C">
        <w:rPr>
          <w:rFonts w:cstheme="minorHAnsi"/>
          <w:lang w:val="en-US"/>
        </w:rPr>
        <w:t>}</w:t>
      </w:r>
    </w:p>
    <w:p w14:paraId="574AD5AF" w14:textId="16C16DB2" w:rsidR="005005A1" w:rsidRPr="00BB664C" w:rsidRDefault="00052BD6" w:rsidP="001D1E49">
      <w:pPr>
        <w:rPr>
          <w:lang w:val="en-US"/>
        </w:rPr>
      </w:pPr>
      <w:r w:rsidRPr="00BB664C">
        <w:rPr>
          <w:rFonts w:ascii="Arial" w:hAnsi="Arial" w:cs="Arial"/>
          <w:sz w:val="20"/>
          <w:szCs w:val="20"/>
          <w:lang w:val="en-US"/>
        </w:rPr>
        <w:t>k = [2022, 2023,…, i]</w:t>
      </w:r>
    </w:p>
    <w:p w14:paraId="41135435" w14:textId="50A14E6F" w:rsidR="00A6373D" w:rsidRPr="00BB664C" w:rsidRDefault="00A6373D" w:rsidP="001D1E49">
      <w:pPr>
        <w:rPr>
          <w:lang w:val="en-US"/>
        </w:rPr>
      </w:pPr>
      <w:r w:rsidRPr="00BB664C">
        <w:rPr>
          <w:lang w:val="en-US"/>
        </w:rPr>
        <w:lastRenderedPageBreak/>
        <w:t xml:space="preserve">The surplus is calculated in regular intervals (years i), and finally, after the end of the relevant lifetime. </w:t>
      </w:r>
    </w:p>
    <w:p w14:paraId="507236FF" w14:textId="4A545011" w:rsidR="00052BD6" w:rsidRDefault="00A6373D" w:rsidP="004340FB">
      <w:pPr>
        <w:rPr>
          <w:lang w:val="en-US"/>
        </w:rPr>
      </w:pPr>
      <w:r w:rsidRPr="00BB664C">
        <w:rPr>
          <w:lang w:val="en-US"/>
        </w:rPr>
        <w:t xml:space="preserve">The height of the repayment obligation then is determined as follows: </w:t>
      </w:r>
    </w:p>
    <w:p w14:paraId="1F907C29" w14:textId="332E6276" w:rsidR="00F30232" w:rsidRDefault="00F30232" w:rsidP="004340FB">
      <w:pPr>
        <w:rPr>
          <w:lang w:val="en-US"/>
        </w:rPr>
      </w:pPr>
      <w:r w:rsidRPr="00563408">
        <w:rPr>
          <w:b/>
          <w:lang w:val="en-US"/>
        </w:rPr>
        <w:t>Alternative A</w:t>
      </w:r>
      <w:r w:rsidR="00563408">
        <w:rPr>
          <w:lang w:val="en-US"/>
        </w:rPr>
        <w:t xml:space="preserve">: </w:t>
      </w:r>
      <w:r w:rsidR="008A4BA9">
        <w:rPr>
          <w:lang w:val="en-US"/>
        </w:rPr>
        <w:t>(fixed share of Surplus, not higher than aid issued</w:t>
      </w:r>
      <w:r w:rsidR="00563408">
        <w:rPr>
          <w:lang w:val="en-US"/>
        </w:rPr>
        <w:t xml:space="preserve"> – recommended by coordinator</w:t>
      </w:r>
      <w:r w:rsidR="008A4BA9">
        <w:rPr>
          <w:lang w:val="en-US"/>
        </w:rPr>
        <w:t>)</w:t>
      </w:r>
    </w:p>
    <w:p w14:paraId="5BB5673B" w14:textId="645BE1D0" w:rsidR="00F30232" w:rsidRPr="00BB664C" w:rsidRDefault="00A334DA" w:rsidP="00F30232">
      <w:pPr>
        <w:spacing w:after="0"/>
        <w:rPr>
          <w:rFonts w:ascii="Arial" w:eastAsiaTheme="minorEastAsia" w:hAnsi="Arial" w:cs="Arial"/>
          <w:lang w:val="en-US"/>
        </w:rPr>
      </w:pPr>
      <m:oMathPara>
        <m:oMathParaPr>
          <m:jc m:val="center"/>
        </m:oMathParaPr>
        <m:oMath>
          <m:sSub>
            <m:sSubPr>
              <m:ctrlPr>
                <w:rPr>
                  <w:rFonts w:ascii="Cambria Math" w:hAnsi="Cambria Math"/>
                  <w:i/>
                  <w:lang w:val="en-US"/>
                </w:rPr>
              </m:ctrlPr>
            </m:sSubPr>
            <m:e>
              <m:r>
                <w:rPr>
                  <w:rFonts w:ascii="Cambria Math" w:hAnsi="Cambria Math"/>
                  <w:lang w:val="en-US"/>
                </w:rPr>
                <m:t>Repayment Obligation</m:t>
              </m:r>
            </m:e>
            <m:sub>
              <m:r>
                <w:rPr>
                  <w:rFonts w:ascii="Cambria Math" w:hAnsi="Cambria Math"/>
                  <w:lang w:val="en-US"/>
                </w:rPr>
                <m:t>i</m:t>
              </m:r>
            </m:sub>
          </m:sSub>
          <m:r>
            <w:rPr>
              <w:rFonts w:ascii="Cambria Math" w:hAnsi="Cambria Math"/>
              <w:lang w:val="en-US"/>
            </w:rPr>
            <m:t>=</m:t>
          </m:r>
          <m:r>
            <m:rPr>
              <m:sty m:val="p"/>
            </m:rPr>
            <w:rPr>
              <w:rFonts w:ascii="Cambria Math" w:hAnsi="Cambria Math"/>
              <w:lang w:val="en-US"/>
            </w:rPr>
            <m:t>max</m:t>
          </m:r>
          <m:d>
            <m:dPr>
              <m:begChr m:val="["/>
              <m:endChr m:val="]"/>
              <m:ctrlPr>
                <w:rPr>
                  <w:rFonts w:ascii="Cambria Math" w:hAnsi="Cambria Math"/>
                  <w:i/>
                  <w:lang w:val="en-US"/>
                </w:rPr>
              </m:ctrlPr>
            </m:dPr>
            <m:e>
              <m:r>
                <w:rPr>
                  <w:rFonts w:ascii="Cambria Math" w:hAnsi="Cambria Math"/>
                  <w:lang w:val="en-US"/>
                </w:rPr>
                <m:t>0;</m:t>
              </m:r>
              <m:func>
                <m:funcPr>
                  <m:ctrlPr>
                    <w:rPr>
                      <w:rFonts w:ascii="Cambria Math" w:hAnsi="Cambria Math"/>
                      <w:i/>
                      <w:lang w:val="en-US"/>
                    </w:rPr>
                  </m:ctrlPr>
                </m:funcPr>
                <m:fName>
                  <m:r>
                    <m:rPr>
                      <m:sty m:val="p"/>
                    </m:rPr>
                    <w:rPr>
                      <w:rFonts w:ascii="Cambria Math" w:hAnsi="Cambria Math"/>
                      <w:lang w:val="en-US"/>
                    </w:rPr>
                    <m:t>min</m:t>
                  </m:r>
                </m:fName>
                <m:e>
                  <m:d>
                    <m:dPr>
                      <m:begChr m:val="["/>
                      <m:endChr m:val="]"/>
                      <m:ctrlPr>
                        <w:rPr>
                          <w:rFonts w:ascii="Cambria Math" w:hAnsi="Cambria Math"/>
                          <w:i/>
                          <w:lang w:val="en-US"/>
                        </w:rPr>
                      </m:ctrlPr>
                    </m:dPr>
                    <m:e>
                      <m:r>
                        <m:rPr>
                          <m:sty m:val="p"/>
                        </m:rPr>
                        <w:rPr>
                          <w:rFonts w:ascii="Cambria Math" w:hAnsi="Cambria Math"/>
                          <w:lang w:val="en-US"/>
                        </w:rPr>
                        <m:t>60%×</m:t>
                      </m:r>
                      <m:sSub>
                        <m:sSubPr>
                          <m:ctrlPr>
                            <w:rPr>
                              <w:rFonts w:ascii="Cambria Math" w:hAnsi="Cambria Math"/>
                              <w:i/>
                              <w:lang w:val="en-US"/>
                            </w:rPr>
                          </m:ctrlPr>
                        </m:sSubPr>
                        <m:e>
                          <m:r>
                            <w:rPr>
                              <w:rFonts w:ascii="Cambria Math" w:hAnsi="Cambria Math"/>
                              <w:lang w:val="en-US"/>
                            </w:rPr>
                            <m:t>SurPlus</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rSA</m:t>
                          </m:r>
                        </m:e>
                        <m:sub>
                          <m:r>
                            <w:rPr>
                              <w:rFonts w:ascii="Cambria Math" w:hAnsi="Cambria Math"/>
                              <w:lang w:val="en-US"/>
                            </w:rPr>
                            <m:t>i</m:t>
                          </m:r>
                        </m:sub>
                      </m:sSub>
                      <m:r>
                        <w:rPr>
                          <w:rFonts w:ascii="Cambria Math" w:hAnsi="Cambria Math"/>
                          <w:lang w:val="en-US"/>
                        </w:rPr>
                        <m:t xml:space="preserve"> </m:t>
                      </m:r>
                    </m:e>
                  </m:d>
                </m:e>
              </m:func>
            </m:e>
          </m:d>
        </m:oMath>
      </m:oMathPara>
    </w:p>
    <w:p w14:paraId="0386EAA7" w14:textId="3498EADD" w:rsidR="00F30232" w:rsidRDefault="00F30232" w:rsidP="004340FB">
      <w:pPr>
        <w:rPr>
          <w:lang w:val="en-US"/>
        </w:rPr>
      </w:pPr>
    </w:p>
    <w:p w14:paraId="697702D0" w14:textId="655AD15A" w:rsidR="00F30232" w:rsidRPr="00BB664C" w:rsidRDefault="00F30232" w:rsidP="004340FB">
      <w:pPr>
        <w:rPr>
          <w:rFonts w:eastAsiaTheme="minorEastAsia"/>
          <w:lang w:val="en-US"/>
        </w:rPr>
      </w:pPr>
      <w:r w:rsidRPr="00563408">
        <w:rPr>
          <w:rFonts w:eastAsiaTheme="minorEastAsia"/>
          <w:b/>
          <w:lang w:val="en-US"/>
        </w:rPr>
        <w:t>Alternative B1:</w:t>
      </w:r>
      <w:r w:rsidR="008A4BA9">
        <w:rPr>
          <w:rFonts w:eastAsiaTheme="minorEastAsia"/>
          <w:lang w:val="en-US"/>
        </w:rPr>
        <w:t xml:space="preserve"> (for Art 22 and Art 23 projects same solution as for Hy2tech, the surplus at time i is multiplied with the lower of 60% or the quotient of the Aid and the Eligible Cost (appropriately discounted) for Art 25 projects and projects of the CEEAG </w:t>
      </w:r>
      <w:proofErr w:type="spellStart"/>
      <w:r w:rsidR="008A4BA9">
        <w:rPr>
          <w:rFonts w:eastAsiaTheme="minorEastAsia"/>
          <w:lang w:val="en-US"/>
        </w:rPr>
        <w:t>passarelle</w:t>
      </w:r>
      <w:proofErr w:type="spellEnd"/>
      <w:r w:rsidR="008A4BA9">
        <w:rPr>
          <w:rFonts w:eastAsiaTheme="minorEastAsia"/>
          <w:lang w:val="en-US"/>
        </w:rPr>
        <w:t xml:space="preserve"> , the surplus at time i is multiplied with the lower of 60% or the quotient of the Aid and the CAPEX-part of the eligible cost (appropriately discounted)</w:t>
      </w:r>
    </w:p>
    <w:p w14:paraId="7D07E279" w14:textId="06D431A7" w:rsidR="00052BD6" w:rsidRPr="00BB664C" w:rsidRDefault="00A334DA" w:rsidP="00052BD6">
      <w:pPr>
        <w:spacing w:after="0"/>
        <w:rPr>
          <w:rFonts w:ascii="Arial" w:eastAsiaTheme="minorEastAsia" w:hAnsi="Arial" w:cs="Arial"/>
          <w:lang w:val="en-US"/>
        </w:rPr>
      </w:pPr>
      <m:oMathPara>
        <m:oMathParaPr>
          <m:jc m:val="center"/>
        </m:oMathParaPr>
        <m:oMath>
          <m:sSub>
            <m:sSubPr>
              <m:ctrlPr>
                <w:rPr>
                  <w:rFonts w:ascii="Cambria Math" w:hAnsi="Cambria Math"/>
                  <w:i/>
                  <w:lang w:val="en-US"/>
                </w:rPr>
              </m:ctrlPr>
            </m:sSubPr>
            <m:e>
              <m:r>
                <w:rPr>
                  <w:rFonts w:ascii="Cambria Math" w:hAnsi="Cambria Math"/>
                  <w:lang w:val="en-US"/>
                </w:rPr>
                <m:t>Repayment Obligation</m:t>
              </m:r>
            </m:e>
            <m:sub>
              <m:r>
                <w:rPr>
                  <w:rFonts w:ascii="Cambria Math" w:hAnsi="Cambria Math"/>
                  <w:lang w:val="en-US"/>
                </w:rPr>
                <m:t>i</m:t>
              </m:r>
            </m:sub>
          </m:sSub>
          <m:r>
            <w:rPr>
              <w:rFonts w:ascii="Cambria Math" w:hAnsi="Cambria Math"/>
              <w:lang w:val="en-US"/>
            </w:rPr>
            <m:t>=</m:t>
          </m:r>
          <m:r>
            <m:rPr>
              <m:sty m:val="p"/>
            </m:rPr>
            <w:rPr>
              <w:rFonts w:ascii="Cambria Math" w:hAnsi="Cambria Math"/>
              <w:lang w:val="en-US"/>
            </w:rPr>
            <m:t>max</m:t>
          </m:r>
          <m:d>
            <m:dPr>
              <m:begChr m:val="["/>
              <m:endChr m:val="]"/>
              <m:ctrlPr>
                <w:rPr>
                  <w:rFonts w:ascii="Cambria Math" w:hAnsi="Cambria Math"/>
                  <w:i/>
                  <w:lang w:val="en-US"/>
                </w:rPr>
              </m:ctrlPr>
            </m:dPr>
            <m:e>
              <m:r>
                <w:rPr>
                  <w:rFonts w:ascii="Cambria Math" w:hAnsi="Cambria Math"/>
                  <w:lang w:val="en-US"/>
                </w:rPr>
                <m:t>0;</m:t>
              </m:r>
              <m:func>
                <m:funcPr>
                  <m:ctrlPr>
                    <w:rPr>
                      <w:rFonts w:ascii="Cambria Math" w:hAnsi="Cambria Math"/>
                      <w:i/>
                      <w:lang w:val="en-US"/>
                    </w:rPr>
                  </m:ctrlPr>
                </m:funcPr>
                <m:fName>
                  <m:r>
                    <m:rPr>
                      <m:sty m:val="p"/>
                    </m:rPr>
                    <w:rPr>
                      <w:rFonts w:ascii="Cambria Math" w:hAnsi="Cambria Math"/>
                      <w:lang w:val="en-US"/>
                    </w:rPr>
                    <m:t>min</m:t>
                  </m:r>
                </m:fName>
                <m:e>
                  <m:d>
                    <m:dPr>
                      <m:begChr m:val="["/>
                      <m:endChr m:val="]"/>
                      <m:ctrlPr>
                        <w:rPr>
                          <w:rFonts w:ascii="Cambria Math" w:hAnsi="Cambria Math"/>
                          <w:i/>
                          <w:lang w:val="en-US"/>
                        </w:rPr>
                      </m:ctrlPr>
                    </m:dPr>
                    <m:e>
                      <m:r>
                        <m:rPr>
                          <m:sty m:val="p"/>
                        </m:rPr>
                        <w:rPr>
                          <w:rFonts w:ascii="Cambria Math" w:hAnsi="Cambria Math"/>
                          <w:lang w:val="en-US"/>
                        </w:rPr>
                        <m:t xml:space="preserve">min⁡(60%, </m:t>
                      </m:r>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i</m:t>
                          </m:r>
                        </m:sub>
                      </m:sSub>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SurPlus</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rSA</m:t>
                          </m:r>
                        </m:e>
                        <m:sub>
                          <m:r>
                            <w:rPr>
                              <w:rFonts w:ascii="Cambria Math" w:hAnsi="Cambria Math"/>
                              <w:lang w:val="en-US"/>
                            </w:rPr>
                            <m:t>i</m:t>
                          </m:r>
                        </m:sub>
                      </m:sSub>
                      <m:r>
                        <w:rPr>
                          <w:rFonts w:ascii="Cambria Math" w:hAnsi="Cambria Math"/>
                          <w:lang w:val="en-US"/>
                        </w:rPr>
                        <m:t xml:space="preserve"> </m:t>
                      </m:r>
                    </m:e>
                  </m:d>
                </m:e>
              </m:func>
            </m:e>
          </m:d>
        </m:oMath>
      </m:oMathPara>
    </w:p>
    <w:p w14:paraId="56CFCD68" w14:textId="258B81E1" w:rsidR="00052BD6" w:rsidRPr="00F30232" w:rsidRDefault="00A334DA" w:rsidP="001D1E49">
      <w:pPr>
        <w:jc w:val="center"/>
        <w:rPr>
          <w:rFonts w:eastAsiaTheme="minorEastAsia"/>
          <w:sz w:val="20"/>
          <w:szCs w:val="20"/>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rPr>
                <m:t>rSA</m:t>
              </m:r>
            </m:e>
            <m:sub>
              <m:r>
                <w:rPr>
                  <w:rFonts w:ascii="Cambria Math" w:hAnsi="Cambria Math" w:cs="Arial"/>
                  <w:sz w:val="20"/>
                  <w:szCs w:val="20"/>
                </w:rPr>
                <m:t>i</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sSub>
                <m:sSubPr>
                  <m:ctrlPr>
                    <w:rPr>
                      <w:rFonts w:ascii="Cambria Math" w:hAnsi="Cambria Math" w:cs="Arial"/>
                      <w:i/>
                      <w:sz w:val="20"/>
                      <w:szCs w:val="20"/>
                    </w:rPr>
                  </m:ctrlPr>
                </m:sSubPr>
                <m:e>
                  <m:r>
                    <w:rPr>
                      <w:rFonts w:ascii="Cambria Math" w:hAnsi="Cambria Math" w:cs="Arial"/>
                      <w:sz w:val="20"/>
                      <w:szCs w:val="20"/>
                    </w:rPr>
                    <m:t>SA</m:t>
                  </m:r>
                </m:e>
                <m:sub>
                  <m:r>
                    <w:rPr>
                      <w:rFonts w:ascii="Cambria Math" w:hAnsi="Cambria Math" w:cs="Arial"/>
                      <w:sz w:val="20"/>
                      <w:szCs w:val="20"/>
                    </w:rPr>
                    <m:t>k</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(1+</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k</m:t>
                      </m:r>
                    </m:sub>
                  </m:sSub>
                  <m:r>
                    <w:rPr>
                      <w:rFonts w:ascii="Cambria Math" w:hAnsi="Cambria Math" w:cs="Arial"/>
                      <w:sz w:val="20"/>
                      <w:szCs w:val="20"/>
                    </w:rPr>
                    <m:t>)</m:t>
                  </m:r>
                </m:e>
                <m:sup>
                  <m:r>
                    <w:rPr>
                      <w:rFonts w:ascii="Cambria Math" w:hAnsi="Cambria Math" w:cs="Arial"/>
                      <w:sz w:val="20"/>
                      <w:szCs w:val="20"/>
                    </w:rPr>
                    <m:t>(i-k)</m:t>
                  </m:r>
                </m:sup>
              </m:sSup>
              <m:r>
                <w:rPr>
                  <w:rFonts w:ascii="Cambria Math" w:hAnsi="Cambria Math" w:cs="Arial"/>
                  <w:sz w:val="20"/>
                  <w:szCs w:val="20"/>
                </w:rPr>
                <m:t xml:space="preserve"> </m:t>
              </m:r>
              <m:sSub>
                <m:sSubPr>
                  <m:ctrlPr>
                    <w:rPr>
                      <w:rFonts w:ascii="Cambria Math" w:hAnsi="Cambria Math"/>
                      <w:i/>
                      <w:lang w:val="en-US"/>
                    </w:rPr>
                  </m:ctrlPr>
                </m:sSubPr>
                <m:e>
                  <m:r>
                    <w:rPr>
                      <w:rFonts w:ascii="Cambria Math" w:hAnsi="Cambria Math"/>
                      <w:lang w:val="en-US"/>
                    </w:rPr>
                    <m:t>and Q</m:t>
                  </m:r>
                </m:e>
                <m:sub>
                  <m:r>
                    <w:rPr>
                      <w:rFonts w:ascii="Cambria Math" w:hAnsi="Cambria Math"/>
                      <w:lang w:val="en-US"/>
                    </w:rPr>
                    <m:t>i</m:t>
                  </m:r>
                </m:sub>
              </m:sSub>
              <m:r>
                <w:rPr>
                  <w:rFonts w:ascii="Cambria Math" w:hAnsi="Cambria Math"/>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k</m:t>
                          </m:r>
                        </m:sub>
                      </m:sSub>
                      <m:r>
                        <w:rPr>
                          <w:rFonts w:ascii="Cambria Math" w:hAnsi="Cambria Math" w:cs="Arial"/>
                          <w:sz w:val="20"/>
                          <w:szCs w:val="20"/>
                        </w:rPr>
                        <m:t>×(1+WACC)^(i-k)</m:t>
                      </m:r>
                    </m:e>
                  </m:nary>
                </m:num>
                <m:den>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r>
                        <w:rPr>
                          <w:rFonts w:ascii="Cambria Math" w:hAnsi="Cambria Math" w:cs="Arial"/>
                          <w:sz w:val="20"/>
                          <w:szCs w:val="20"/>
                        </w:rPr>
                        <m:t>E</m:t>
                      </m:r>
                      <m:sSubSup>
                        <m:sSubSupPr>
                          <m:ctrlPr>
                            <w:rPr>
                              <w:rFonts w:ascii="Cambria Math" w:hAnsi="Cambria Math" w:cs="Arial"/>
                              <w:i/>
                              <w:sz w:val="20"/>
                              <w:szCs w:val="20"/>
                            </w:rPr>
                          </m:ctrlPr>
                        </m:sSubSupPr>
                        <m:e>
                          <m:r>
                            <w:rPr>
                              <w:rFonts w:ascii="Cambria Math" w:hAnsi="Cambria Math" w:cs="Arial"/>
                              <w:sz w:val="20"/>
                              <w:szCs w:val="20"/>
                            </w:rPr>
                            <m:t>l</m:t>
                          </m:r>
                        </m:e>
                        <m:sub>
                          <m:r>
                            <w:rPr>
                              <w:rFonts w:ascii="Cambria Math" w:hAnsi="Cambria Math" w:cs="Arial"/>
                              <w:sz w:val="20"/>
                              <w:szCs w:val="20"/>
                            </w:rPr>
                            <m:t xml:space="preserve">k </m:t>
                          </m:r>
                        </m:sub>
                        <m:sup>
                          <m:r>
                            <w:rPr>
                              <w:rFonts w:ascii="Cambria Math" w:hAnsi="Cambria Math" w:cs="Arial"/>
                              <w:sz w:val="20"/>
                              <w:szCs w:val="20"/>
                            </w:rPr>
                            <m:t>*</m:t>
                          </m:r>
                        </m:sup>
                      </m:sSub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1+WACC</m:t>
                              </m:r>
                            </m:e>
                          </m:d>
                        </m:e>
                        <m:sup>
                          <m:r>
                            <w:rPr>
                              <w:rFonts w:ascii="Cambria Math" w:hAnsi="Cambria Math" w:cs="Arial"/>
                              <w:sz w:val="20"/>
                              <w:szCs w:val="20"/>
                            </w:rPr>
                            <m:t>i-k</m:t>
                          </m:r>
                        </m:sup>
                      </m:sSup>
                    </m:e>
                  </m:nary>
                </m:den>
              </m:f>
              <m:r>
                <w:rPr>
                  <w:rFonts w:ascii="Cambria Math" w:hAnsi="Cambria Math"/>
                </w:rPr>
                <m:t xml:space="preserve"> if Art. 25 and CEEAG and </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k</m:t>
                          </m:r>
                        </m:sub>
                      </m:sSub>
                      <m:r>
                        <w:rPr>
                          <w:rFonts w:ascii="Cambria Math" w:hAnsi="Cambria Math" w:cs="Arial"/>
                          <w:sz w:val="20"/>
                          <w:szCs w:val="20"/>
                        </w:rPr>
                        <m:t>×(1+WACC)^(i-k)</m:t>
                      </m:r>
                    </m:e>
                  </m:nary>
                </m:num>
                <m:den>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r>
                        <w:rPr>
                          <w:rFonts w:ascii="Cambria Math" w:hAnsi="Cambria Math" w:cs="Arial"/>
                          <w:sz w:val="20"/>
                          <w:szCs w:val="20"/>
                        </w:rPr>
                        <m:t>E</m:t>
                      </m:r>
                      <m:sSubSup>
                        <m:sSubSupPr>
                          <m:ctrlPr>
                            <w:rPr>
                              <w:rFonts w:ascii="Cambria Math" w:hAnsi="Cambria Math" w:cs="Arial"/>
                              <w:i/>
                              <w:sz w:val="20"/>
                              <w:szCs w:val="20"/>
                            </w:rPr>
                          </m:ctrlPr>
                        </m:sSubSupPr>
                        <m:e>
                          <m:r>
                            <w:rPr>
                              <w:rFonts w:ascii="Cambria Math" w:hAnsi="Cambria Math" w:cs="Arial"/>
                              <w:sz w:val="20"/>
                              <w:szCs w:val="20"/>
                            </w:rPr>
                            <m:t>l</m:t>
                          </m:r>
                        </m:e>
                        <m:sub>
                          <m:r>
                            <w:rPr>
                              <w:rFonts w:ascii="Cambria Math" w:hAnsi="Cambria Math" w:cs="Arial"/>
                              <w:sz w:val="20"/>
                              <w:szCs w:val="20"/>
                            </w:rPr>
                            <m:t xml:space="preserve">k </m:t>
                          </m:r>
                        </m:sub>
                        <m:sup/>
                      </m:sSub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1+WACC</m:t>
                              </m:r>
                            </m:e>
                          </m:d>
                        </m:e>
                        <m:sup>
                          <m:r>
                            <w:rPr>
                              <w:rFonts w:ascii="Cambria Math" w:hAnsi="Cambria Math" w:cs="Arial"/>
                              <w:sz w:val="20"/>
                              <w:szCs w:val="20"/>
                            </w:rPr>
                            <m:t>i-k</m:t>
                          </m:r>
                        </m:sup>
                      </m:sSup>
                    </m:e>
                  </m:nary>
                </m:den>
              </m:f>
              <m:r>
                <w:rPr>
                  <w:rFonts w:ascii="Cambria Math" w:hAnsi="Cambria Math" w:cs="Arial"/>
                  <w:sz w:val="20"/>
                  <w:szCs w:val="20"/>
                </w:rPr>
                <m:t xml:space="preserve"> for Art 22, 23 </m:t>
              </m:r>
            </m:e>
          </m:nary>
          <m:r>
            <w:rPr>
              <w:rFonts w:ascii="Cambria Math" w:hAnsi="Cambria Math" w:cs="Arial"/>
              <w:sz w:val="20"/>
              <w:szCs w:val="20"/>
            </w:rPr>
            <m:t xml:space="preserve"> </m:t>
          </m:r>
        </m:oMath>
      </m:oMathPara>
    </w:p>
    <w:p w14:paraId="576AF1AC" w14:textId="77777777" w:rsidR="00F30232" w:rsidRPr="00BB664C" w:rsidRDefault="00F30232" w:rsidP="00563408">
      <w:pPr>
        <w:rPr>
          <w:rFonts w:eastAsiaTheme="minorEastAsia"/>
          <w:sz w:val="20"/>
          <w:szCs w:val="20"/>
        </w:rPr>
      </w:pPr>
    </w:p>
    <w:p w14:paraId="6573F611" w14:textId="7AB17A47" w:rsidR="00A2704E" w:rsidRPr="00BB664C" w:rsidRDefault="00A2704E" w:rsidP="00F55097">
      <w:pPr>
        <w:rPr>
          <w:lang w:val="en-US"/>
        </w:rPr>
      </w:pPr>
      <w:proofErr w:type="spellStart"/>
      <w:r w:rsidRPr="00BB664C">
        <w:rPr>
          <w:i/>
          <w:lang w:val="en-US"/>
        </w:rPr>
        <w:t>SA</w:t>
      </w:r>
      <w:r w:rsidRPr="00BB664C">
        <w:rPr>
          <w:i/>
          <w:vertAlign w:val="subscript"/>
          <w:lang w:val="en-US"/>
        </w:rPr>
        <w:t>k</w:t>
      </w:r>
      <w:proofErr w:type="spellEnd"/>
      <w:r w:rsidRPr="00BB664C">
        <w:rPr>
          <w:i/>
          <w:lang w:val="en-US"/>
        </w:rPr>
        <w:t xml:space="preserve"> </w:t>
      </w:r>
      <w:r w:rsidRPr="00BB664C">
        <w:rPr>
          <w:lang w:val="en-US"/>
        </w:rPr>
        <w:t>= annual State Aid amount</w:t>
      </w:r>
    </w:p>
    <w:p w14:paraId="3B1F136D" w14:textId="106C5364" w:rsidR="00A2704E" w:rsidRDefault="00A2704E" w:rsidP="00A2704E">
      <w:pPr>
        <w:rPr>
          <w:i/>
          <w:lang w:val="en-US"/>
        </w:rPr>
      </w:pPr>
      <w:proofErr w:type="spellStart"/>
      <w:r w:rsidRPr="00BB664C">
        <w:rPr>
          <w:i/>
          <w:lang w:val="en-US"/>
        </w:rPr>
        <w:t>rSA</w:t>
      </w:r>
      <w:r w:rsidRPr="00BB664C">
        <w:rPr>
          <w:i/>
          <w:vertAlign w:val="subscript"/>
          <w:lang w:val="en-US"/>
        </w:rPr>
        <w:t>i</w:t>
      </w:r>
      <w:proofErr w:type="spellEnd"/>
      <w:r w:rsidRPr="00BB664C">
        <w:rPr>
          <w:i/>
          <w:lang w:val="en-US"/>
        </w:rPr>
        <w:t xml:space="preserve"> </w:t>
      </w:r>
      <w:r w:rsidRPr="00BB664C">
        <w:rPr>
          <w:lang w:val="en-US"/>
        </w:rPr>
        <w:t>= State Aid after interest in year</w:t>
      </w:r>
      <w:r w:rsidRPr="00BB664C">
        <w:rPr>
          <w:i/>
          <w:lang w:val="en-US"/>
        </w:rPr>
        <w:t xml:space="preserve"> i</w:t>
      </w:r>
    </w:p>
    <w:p w14:paraId="26C7D42F" w14:textId="348BEEC0" w:rsidR="00E35D32" w:rsidRDefault="00E35D32" w:rsidP="00A2704E">
      <w:pPr>
        <w:rPr>
          <w:i/>
          <w:lang w:val="en-US"/>
        </w:rPr>
      </w:pPr>
      <w:proofErr w:type="spellStart"/>
      <w:r>
        <w:rPr>
          <w:i/>
          <w:lang w:val="en-US"/>
        </w:rPr>
        <w:t>El_k</w:t>
      </w:r>
      <w:proofErr w:type="spellEnd"/>
      <w:r>
        <w:rPr>
          <w:i/>
          <w:lang w:val="en-US"/>
        </w:rPr>
        <w:t xml:space="preserve"> = Eligible costs in year k</w:t>
      </w:r>
    </w:p>
    <w:p w14:paraId="13CEF8C9" w14:textId="77777777" w:rsidR="00563408" w:rsidRDefault="00563408" w:rsidP="001D1E49">
      <w:pPr>
        <w:rPr>
          <w:i/>
          <w:lang w:val="en-US"/>
        </w:rPr>
      </w:pPr>
      <w:r>
        <w:rPr>
          <w:i/>
          <w:lang w:val="en-US"/>
        </w:rPr>
        <w:t>El^*_k = CAPEX part of eligible costs in year k</w:t>
      </w:r>
    </w:p>
    <w:p w14:paraId="44786ADC" w14:textId="7B3DB14D" w:rsidR="00A73826" w:rsidRPr="00BB664C" w:rsidRDefault="00A73826" w:rsidP="001D1E49">
      <w:pPr>
        <w:rPr>
          <w:lang w:val="en-US"/>
        </w:rPr>
      </w:pPr>
      <w:r w:rsidRPr="00BB664C">
        <w:rPr>
          <w:lang w:val="en-US"/>
        </w:rPr>
        <w:t xml:space="preserve">This means that the received </w:t>
      </w:r>
      <w:r w:rsidR="00052BD6" w:rsidRPr="00BB664C">
        <w:rPr>
          <w:lang w:val="en-US"/>
        </w:rPr>
        <w:t xml:space="preserve">interest-bearing </w:t>
      </w:r>
      <w:r w:rsidRPr="00BB664C">
        <w:rPr>
          <w:lang w:val="en-US"/>
        </w:rPr>
        <w:t>state aid is the absolute maximum to the repayment obligation</w:t>
      </w:r>
      <w:r w:rsidR="00563408">
        <w:rPr>
          <w:lang w:val="en-US"/>
        </w:rPr>
        <w:t xml:space="preserve"> in any of the 3 cases</w:t>
      </w:r>
      <w:r w:rsidRPr="00BB664C">
        <w:rPr>
          <w:lang w:val="en-US"/>
        </w:rPr>
        <w:t xml:space="preserve">. </w:t>
      </w:r>
    </w:p>
    <w:p w14:paraId="04355C72" w14:textId="77777777" w:rsidR="001D1E49" w:rsidRPr="00BB664C" w:rsidRDefault="001D1E49" w:rsidP="001D1E49">
      <w:pPr>
        <w:rPr>
          <w:lang w:val="en-US"/>
        </w:rPr>
      </w:pPr>
    </w:p>
    <w:p w14:paraId="5A43ED44" w14:textId="77777777" w:rsidR="00AC010E" w:rsidRPr="00BB664C" w:rsidRDefault="00AC010E" w:rsidP="00CA62D5">
      <w:pPr>
        <w:rPr>
          <w:b/>
          <w:u w:val="single"/>
          <w:lang w:val="en-US"/>
        </w:rPr>
      </w:pPr>
      <w:r w:rsidRPr="00BB664C">
        <w:rPr>
          <w:b/>
          <w:u w:val="single"/>
          <w:lang w:val="en-US"/>
        </w:rPr>
        <w:t>Text</w:t>
      </w:r>
      <w:r w:rsidR="00D758C6" w:rsidRPr="00BB664C">
        <w:rPr>
          <w:b/>
          <w:u w:val="single"/>
          <w:lang w:val="en-US"/>
        </w:rPr>
        <w:t xml:space="preserve"> suggestion for the Chapeau</w:t>
      </w:r>
    </w:p>
    <w:p w14:paraId="7AF22629" w14:textId="77777777" w:rsidR="00D758C6" w:rsidRPr="00BB664C" w:rsidRDefault="00D758C6" w:rsidP="00CD2083">
      <w:pPr>
        <w:pStyle w:val="Lijstnummering"/>
        <w:rPr>
          <w:szCs w:val="24"/>
          <w:lang w:val="en-US"/>
        </w:rPr>
      </w:pPr>
      <w:r w:rsidRPr="00BB664C">
        <w:rPr>
          <w:szCs w:val="24"/>
          <w:lang w:val="en-US"/>
        </w:rPr>
        <w:t xml:space="preserve">The aid is capped in nominal terms by the notified and actual eligible costs. Member states will also ensure that the discounted value in 2022 terms of the aid (using the notified WACC as a discount </w:t>
      </w:r>
      <w:r w:rsidRPr="00BB664C">
        <w:rPr>
          <w:szCs w:val="24"/>
        </w:rPr>
        <w:t>factor</w:t>
      </w:r>
      <w:r w:rsidRPr="00BB664C">
        <w:rPr>
          <w:szCs w:val="24"/>
          <w:lang w:val="en-US"/>
        </w:rPr>
        <w:t>) will not exceed the notified funding gap.</w:t>
      </w:r>
    </w:p>
    <w:p w14:paraId="71858E42" w14:textId="77777777" w:rsidR="00AC010E" w:rsidRPr="00BB664C" w:rsidRDefault="00AC010E" w:rsidP="00DF33DF">
      <w:pPr>
        <w:pStyle w:val="Lijstnummering"/>
        <w:rPr>
          <w:szCs w:val="24"/>
        </w:rPr>
      </w:pPr>
      <w:r w:rsidRPr="00BB664C">
        <w:rPr>
          <w:szCs w:val="24"/>
        </w:rPr>
        <w:t xml:space="preserve">In order to further ensure that the aid is kept to the minimum necessary, the Member States have in their notification committed to introduce a claw-back mechanism. The basis for the claw-back mechanism will be ex post figures, which have been subject to annual approval by an independent auditor. For this purpose, separate analytical accounting will be required from the participating companies in the relevant Member State. The detailed conditions of the claw-back mechanism are explained in Annex I. </w:t>
      </w:r>
    </w:p>
    <w:p w14:paraId="2BAF5C49" w14:textId="65F8DCFD" w:rsidR="00AC010E" w:rsidRPr="00BB664C" w:rsidRDefault="00AC010E" w:rsidP="00DF33DF">
      <w:pPr>
        <w:pStyle w:val="Lijstnummering"/>
        <w:rPr>
          <w:szCs w:val="24"/>
        </w:rPr>
      </w:pPr>
      <w:r w:rsidRPr="00BB664C">
        <w:rPr>
          <w:szCs w:val="24"/>
        </w:rPr>
        <w:t>The claw-back mechanism for the individual projects of the participating companies only applies in case of a ‘Surplus’ including the actual State aid disbursements</w:t>
      </w:r>
      <w:r w:rsidR="00903ADA" w:rsidRPr="00BB664C">
        <w:rPr>
          <w:szCs w:val="24"/>
        </w:rPr>
        <w:t xml:space="preserve"> and </w:t>
      </w:r>
      <w:r w:rsidR="00140408" w:rsidRPr="00BB664C">
        <w:rPr>
          <w:szCs w:val="24"/>
        </w:rPr>
        <w:t xml:space="preserve">accounting for </w:t>
      </w:r>
      <w:r w:rsidR="000C68B0" w:rsidRPr="00BB664C">
        <w:rPr>
          <w:szCs w:val="24"/>
        </w:rPr>
        <w:t xml:space="preserve">indirect subsidies, e.g. </w:t>
      </w:r>
      <w:r w:rsidR="00903ADA" w:rsidRPr="00BB664C">
        <w:rPr>
          <w:szCs w:val="24"/>
        </w:rPr>
        <w:t>saved ETS costs</w:t>
      </w:r>
      <w:r w:rsidRPr="00BB664C">
        <w:rPr>
          <w:szCs w:val="24"/>
        </w:rPr>
        <w:t xml:space="preserve">, as defined in Annex I. To ensure, however, that the beneficiaries have an incentive in delivering their project in an </w:t>
      </w:r>
      <w:r w:rsidRPr="00BB664C">
        <w:rPr>
          <w:szCs w:val="24"/>
        </w:rPr>
        <w:lastRenderedPageBreak/>
        <w:t>efficient manner, a share of any potential ‘Surplus’ will remain with the participating companies.</w:t>
      </w:r>
    </w:p>
    <w:p w14:paraId="2A176A07" w14:textId="648949C7" w:rsidR="0055320A" w:rsidRPr="00BB664C" w:rsidRDefault="0055320A" w:rsidP="00DF33DF">
      <w:pPr>
        <w:pStyle w:val="Lijstnummering"/>
        <w:rPr>
          <w:szCs w:val="24"/>
        </w:rPr>
      </w:pPr>
      <w:r w:rsidRPr="00BB664C">
        <w:rPr>
          <w:szCs w:val="24"/>
        </w:rPr>
        <w:t xml:space="preserve">To compute the surplus, companies need to assume the market price for hydrogen for their operations, as long as the realized price is not within a range as set out in Annex I. </w:t>
      </w:r>
    </w:p>
    <w:p w14:paraId="5E62669D" w14:textId="77777777" w:rsidR="00D758C6" w:rsidRPr="00BB664C" w:rsidRDefault="00D758C6" w:rsidP="00D758C6">
      <w:pPr>
        <w:pStyle w:val="Lijstnummering"/>
        <w:numPr>
          <w:ilvl w:val="0"/>
          <w:numId w:val="0"/>
        </w:numPr>
        <w:spacing w:after="0"/>
        <w:ind w:left="709"/>
        <w:contextualSpacing/>
        <w:rPr>
          <w:szCs w:val="24"/>
          <w:lang w:val="en-US"/>
        </w:rPr>
      </w:pPr>
    </w:p>
    <w:p w14:paraId="00078D9A" w14:textId="77777777" w:rsidR="00AC010E" w:rsidRPr="00BB664C" w:rsidRDefault="00AC010E" w:rsidP="00AC010E">
      <w:pPr>
        <w:keepNext/>
        <w:suppressAutoHyphens/>
        <w:spacing w:before="120" w:after="240" w:line="240" w:lineRule="auto"/>
        <w:jc w:val="center"/>
        <w:outlineLvl w:val="0"/>
        <w:rPr>
          <w:rFonts w:ascii="Times New Roman" w:eastAsia="Times New Roman" w:hAnsi="Times New Roman" w:cs="Times New Roman"/>
          <w:b/>
          <w:smallCaps/>
          <w:sz w:val="24"/>
          <w:szCs w:val="24"/>
          <w:lang w:val="en-GB"/>
        </w:rPr>
      </w:pPr>
      <w:r w:rsidRPr="00BB664C">
        <w:rPr>
          <w:rFonts w:ascii="Times New Roman" w:eastAsia="Times New Roman" w:hAnsi="Times New Roman" w:cs="Times New Roman"/>
          <w:b/>
          <w:smallCaps/>
          <w:sz w:val="24"/>
          <w:szCs w:val="24"/>
          <w:lang w:val="en-GB"/>
        </w:rPr>
        <w:t>Annex I</w:t>
      </w:r>
    </w:p>
    <w:p w14:paraId="3CCFEF7D" w14:textId="77777777" w:rsidR="00AC010E" w:rsidRPr="00BB664C" w:rsidRDefault="00AC010E" w:rsidP="00AC010E">
      <w:pPr>
        <w:keepNext/>
        <w:suppressAutoHyphens/>
        <w:spacing w:before="120" w:after="480" w:line="240" w:lineRule="auto"/>
        <w:jc w:val="center"/>
        <w:outlineLvl w:val="0"/>
        <w:rPr>
          <w:rFonts w:ascii="Times New Roman" w:eastAsia="Times New Roman" w:hAnsi="Times New Roman" w:cs="Times New Roman"/>
          <w:b/>
          <w:smallCaps/>
          <w:sz w:val="24"/>
          <w:szCs w:val="20"/>
          <w:lang w:val="en-GB"/>
        </w:rPr>
      </w:pPr>
      <w:r w:rsidRPr="00BB664C">
        <w:rPr>
          <w:rFonts w:ascii="Times New Roman" w:eastAsia="Times New Roman" w:hAnsi="Times New Roman" w:cs="Times New Roman"/>
          <w:b/>
          <w:smallCaps/>
          <w:sz w:val="24"/>
          <w:szCs w:val="24"/>
          <w:lang w:val="en-GB"/>
        </w:rPr>
        <w:t>Claw-back mechanism</w:t>
      </w:r>
    </w:p>
    <w:p w14:paraId="10235E23" w14:textId="77777777" w:rsidR="00AC010E" w:rsidRPr="00BB664C" w:rsidRDefault="00AC010E" w:rsidP="00AC010E">
      <w:pPr>
        <w:spacing w:after="240" w:line="240" w:lineRule="auto"/>
        <w:jc w:val="both"/>
        <w:rPr>
          <w:rFonts w:ascii="Times New Roman" w:eastAsia="Times New Roman" w:hAnsi="Times New Roman" w:cs="Times New Roman"/>
          <w:iCs/>
          <w:sz w:val="24"/>
          <w:szCs w:val="20"/>
          <w:vertAlign w:val="superscript"/>
          <w:lang w:val="en-GB"/>
        </w:rPr>
      </w:pPr>
      <w:r w:rsidRPr="00BB664C">
        <w:rPr>
          <w:rFonts w:ascii="Times New Roman" w:eastAsia="Times New Roman" w:hAnsi="Times New Roman" w:cs="Times New Roman"/>
          <w:iCs/>
          <w:sz w:val="24"/>
          <w:szCs w:val="20"/>
          <w:lang w:val="en-GB"/>
        </w:rPr>
        <w:t xml:space="preserve">The aid is capped in nominal terms by the notified and actual eligible costs. Member States will also ensure that the discounted value in </w:t>
      </w:r>
      <w:r w:rsidRPr="00BB664C">
        <w:rPr>
          <w:rFonts w:ascii="Times New Roman" w:eastAsia="Times New Roman" w:hAnsi="Times New Roman" w:cs="Times New Roman"/>
          <w:sz w:val="24"/>
          <w:szCs w:val="20"/>
          <w:lang w:val="en-GB"/>
        </w:rPr>
        <w:t>202</w:t>
      </w:r>
      <w:r w:rsidR="00520D59" w:rsidRPr="00BB664C">
        <w:rPr>
          <w:rFonts w:ascii="Times New Roman" w:eastAsia="Times New Roman" w:hAnsi="Times New Roman" w:cs="Times New Roman"/>
          <w:sz w:val="24"/>
          <w:szCs w:val="20"/>
          <w:lang w:val="en-GB"/>
        </w:rPr>
        <w:t>2</w:t>
      </w:r>
      <w:r w:rsidRPr="00BB664C">
        <w:rPr>
          <w:rFonts w:ascii="Times New Roman" w:eastAsia="Times New Roman" w:hAnsi="Times New Roman" w:cs="Times New Roman"/>
          <w:iCs/>
          <w:sz w:val="24"/>
          <w:szCs w:val="20"/>
          <w:lang w:val="en-GB"/>
        </w:rPr>
        <w:t xml:space="preserve"> terms of the aid (using the notified WACC as a discount factor) will not exceed the notified funding gap.</w:t>
      </w:r>
    </w:p>
    <w:p w14:paraId="37DF3005" w14:textId="3A2EB3E0" w:rsidR="00AC010E" w:rsidRPr="00BB664C" w:rsidRDefault="00AC010E" w:rsidP="00AC010E">
      <w:pPr>
        <w:spacing w:after="240" w:line="240" w:lineRule="auto"/>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sz w:val="24"/>
          <w:szCs w:val="20"/>
          <w:lang w:val="en-GB"/>
        </w:rPr>
        <w:t>The claw-back mechanism will apply to those aid beneficiaries having a notified aid amount, per Member State, above EUR 50 million</w:t>
      </w:r>
      <w:r w:rsidRPr="00BB664C">
        <w:rPr>
          <w:rFonts w:ascii="Times New Roman" w:eastAsia="Times New Roman" w:hAnsi="Times New Roman" w:cs="Times New Roman"/>
          <w:sz w:val="24"/>
          <w:szCs w:val="20"/>
          <w:vertAlign w:val="superscript"/>
          <w:lang w:val="en-GB"/>
        </w:rPr>
        <w:footnoteReference w:id="2"/>
      </w:r>
      <w:r w:rsidRPr="00BB664C">
        <w:rPr>
          <w:rFonts w:ascii="Times New Roman" w:eastAsia="Times New Roman" w:hAnsi="Times New Roman" w:cs="Times New Roman"/>
          <w:sz w:val="24"/>
          <w:szCs w:val="20"/>
          <w:lang w:val="en-GB"/>
        </w:rPr>
        <w:t xml:space="preserve"> in total in that Member State. </w:t>
      </w:r>
    </w:p>
    <w:p w14:paraId="0841F85A" w14:textId="1429DF37" w:rsidR="00AC010E" w:rsidRPr="00BB664C" w:rsidRDefault="00AC010E" w:rsidP="00AC010E">
      <w:pPr>
        <w:spacing w:after="240" w:line="240" w:lineRule="auto"/>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iCs/>
          <w:sz w:val="24"/>
          <w:szCs w:val="20"/>
          <w:lang w:val="en-GB"/>
        </w:rPr>
        <w:t xml:space="preserve">The basis for the claw-back mechanism will be </w:t>
      </w:r>
      <w:r w:rsidRPr="00BB664C">
        <w:rPr>
          <w:rFonts w:ascii="Times New Roman" w:eastAsia="Times New Roman" w:hAnsi="Times New Roman" w:cs="Times New Roman"/>
          <w:i/>
          <w:sz w:val="24"/>
          <w:szCs w:val="20"/>
          <w:lang w:val="en-GB"/>
        </w:rPr>
        <w:t>ex post</w:t>
      </w:r>
      <w:r w:rsidRPr="00BB664C">
        <w:rPr>
          <w:rFonts w:ascii="Times New Roman" w:eastAsia="Times New Roman" w:hAnsi="Times New Roman" w:cs="Times New Roman"/>
          <w:iCs/>
          <w:sz w:val="24"/>
          <w:szCs w:val="20"/>
          <w:lang w:val="en-GB"/>
        </w:rPr>
        <w:t xml:space="preserve"> figures, which have been subject to annual approval by an independent auditor. For this purpose, separate analytical accounting  will be required from the aid </w:t>
      </w:r>
      <w:r w:rsidR="00984654" w:rsidRPr="00BB664C">
        <w:rPr>
          <w:rFonts w:ascii="Times New Roman" w:eastAsia="Times New Roman" w:hAnsi="Times New Roman" w:cs="Times New Roman"/>
          <w:iCs/>
          <w:sz w:val="24"/>
          <w:szCs w:val="20"/>
          <w:lang w:val="en-GB"/>
        </w:rPr>
        <w:t>beneficiaries</w:t>
      </w:r>
      <w:r w:rsidR="00984654" w:rsidRPr="00BB664C">
        <w:rPr>
          <w:rFonts w:ascii="Times New Roman" w:eastAsia="Times New Roman" w:hAnsi="Times New Roman" w:cs="Times New Roman"/>
          <w:iCs/>
          <w:sz w:val="24"/>
          <w:szCs w:val="20"/>
          <w:vertAlign w:val="superscript"/>
          <w:lang w:val="en-GB"/>
        </w:rPr>
        <w:t xml:space="preserve"> </w:t>
      </w:r>
      <w:r w:rsidR="00984654" w:rsidRPr="00BB664C">
        <w:rPr>
          <w:rFonts w:ascii="Times New Roman" w:eastAsia="Times New Roman" w:hAnsi="Times New Roman" w:cs="Times New Roman"/>
          <w:iCs/>
          <w:sz w:val="24"/>
          <w:szCs w:val="20"/>
          <w:lang w:val="en-GB"/>
        </w:rPr>
        <w:t>in</w:t>
      </w:r>
      <w:r w:rsidRPr="00BB664C">
        <w:rPr>
          <w:rFonts w:ascii="Times New Roman" w:eastAsia="Times New Roman" w:hAnsi="Times New Roman" w:cs="Times New Roman"/>
          <w:iCs/>
          <w:sz w:val="24"/>
          <w:szCs w:val="20"/>
          <w:lang w:val="en-GB"/>
        </w:rPr>
        <w:t xml:space="preserve"> the relevant Member State.</w:t>
      </w:r>
    </w:p>
    <w:p w14:paraId="65E14193" w14:textId="77777777" w:rsidR="00AC010E" w:rsidRPr="00BB664C" w:rsidRDefault="00AC010E" w:rsidP="00AC010E">
      <w:pPr>
        <w:spacing w:after="240" w:line="240" w:lineRule="auto"/>
        <w:jc w:val="both"/>
        <w:rPr>
          <w:rFonts w:ascii="Times New Roman" w:eastAsia="Times New Roman" w:hAnsi="Times New Roman" w:cs="Times New Roman"/>
          <w:i/>
          <w:iCs/>
          <w:sz w:val="24"/>
          <w:szCs w:val="20"/>
          <w:lang w:val="en-GB"/>
        </w:rPr>
      </w:pPr>
      <w:r w:rsidRPr="00BB664C">
        <w:rPr>
          <w:rFonts w:ascii="Times New Roman" w:eastAsia="Times New Roman" w:hAnsi="Times New Roman" w:cs="Times New Roman"/>
          <w:i/>
          <w:iCs/>
          <w:sz w:val="24"/>
          <w:szCs w:val="20"/>
          <w:lang w:val="en-GB"/>
        </w:rPr>
        <w:t>Letter of credit</w:t>
      </w:r>
    </w:p>
    <w:p w14:paraId="3DFE729E" w14:textId="69C28EC1" w:rsidR="00AC010E" w:rsidRPr="00BB664C" w:rsidRDefault="00AC010E" w:rsidP="004340FB">
      <w:pPr>
        <w:spacing w:after="240" w:line="240" w:lineRule="auto"/>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iCs/>
          <w:sz w:val="24"/>
          <w:szCs w:val="20"/>
          <w:lang w:val="en-GB"/>
        </w:rPr>
        <w:t xml:space="preserve">Starting as from </w:t>
      </w:r>
      <w:r w:rsidR="00FB4357" w:rsidRPr="00BB664C">
        <w:rPr>
          <w:rFonts w:ascii="Times New Roman" w:eastAsia="Times New Roman" w:hAnsi="Times New Roman" w:cs="Times New Roman"/>
          <w:iCs/>
          <w:sz w:val="24"/>
          <w:szCs w:val="20"/>
          <w:lang w:val="en-GB"/>
        </w:rPr>
        <w:t xml:space="preserve">two years after the completion of the RDI/ FID-phase for such projects, </w:t>
      </w:r>
      <w:r w:rsidR="00B03AC9" w:rsidRPr="00BB664C">
        <w:rPr>
          <w:rFonts w:ascii="Times New Roman" w:eastAsia="Times New Roman" w:hAnsi="Times New Roman" w:cs="Times New Roman"/>
          <w:iCs/>
          <w:sz w:val="24"/>
          <w:szCs w:val="20"/>
          <w:lang w:val="en-GB"/>
        </w:rPr>
        <w:t>respectively</w:t>
      </w:r>
      <w:r w:rsidR="00D875DB" w:rsidRPr="00BB664C">
        <w:rPr>
          <w:rFonts w:ascii="Times New Roman" w:eastAsia="Times New Roman" w:hAnsi="Times New Roman" w:cs="Times New Roman"/>
          <w:iCs/>
          <w:sz w:val="24"/>
          <w:szCs w:val="20"/>
          <w:lang w:val="en-GB"/>
        </w:rPr>
        <w:t xml:space="preserve"> </w:t>
      </w:r>
      <w:r w:rsidR="00FB4357" w:rsidRPr="00BB664C">
        <w:rPr>
          <w:rFonts w:ascii="Times New Roman" w:eastAsia="Times New Roman" w:hAnsi="Times New Roman" w:cs="Times New Roman"/>
          <w:iCs/>
          <w:sz w:val="24"/>
          <w:szCs w:val="20"/>
          <w:lang w:val="en-GB"/>
        </w:rPr>
        <w:t xml:space="preserve">two years from the complete installation </w:t>
      </w:r>
      <w:r w:rsidR="00727F8D" w:rsidRPr="00BB664C">
        <w:rPr>
          <w:rFonts w:ascii="Times New Roman" w:eastAsia="Times New Roman" w:hAnsi="Times New Roman" w:cs="Times New Roman"/>
          <w:iCs/>
          <w:sz w:val="24"/>
          <w:szCs w:val="20"/>
          <w:lang w:val="en-GB"/>
        </w:rPr>
        <w:t xml:space="preserve">and commissioning </w:t>
      </w:r>
      <w:r w:rsidR="00FB4357" w:rsidRPr="00BB664C">
        <w:rPr>
          <w:rFonts w:ascii="Times New Roman" w:eastAsia="Times New Roman" w:hAnsi="Times New Roman" w:cs="Times New Roman"/>
          <w:iCs/>
          <w:sz w:val="24"/>
          <w:szCs w:val="20"/>
          <w:lang w:val="en-GB"/>
        </w:rPr>
        <w:t xml:space="preserve">of the facility in case of infrastructure projects, </w:t>
      </w:r>
      <w:r w:rsidRPr="00BB664C">
        <w:rPr>
          <w:rFonts w:ascii="Times New Roman" w:eastAsia="Times New Roman" w:hAnsi="Times New Roman" w:cs="Times New Roman"/>
          <w:iCs/>
          <w:sz w:val="24"/>
          <w:szCs w:val="20"/>
          <w:lang w:val="en-GB"/>
        </w:rPr>
        <w:t xml:space="preserve">and then, every </w:t>
      </w:r>
      <w:r w:rsidR="00D96A88" w:rsidRPr="00BB664C">
        <w:rPr>
          <w:rFonts w:ascii="Times New Roman" w:eastAsia="Times New Roman" w:hAnsi="Times New Roman" w:cs="Times New Roman"/>
          <w:iCs/>
          <w:sz w:val="24"/>
          <w:szCs w:val="20"/>
          <w:lang w:val="en-GB"/>
        </w:rPr>
        <w:t>year</w:t>
      </w:r>
      <w:r w:rsidRPr="00BB664C">
        <w:rPr>
          <w:rFonts w:ascii="Times New Roman" w:eastAsia="Times New Roman" w:hAnsi="Times New Roman" w:cs="Times New Roman"/>
          <w:iCs/>
          <w:sz w:val="24"/>
          <w:szCs w:val="20"/>
          <w:lang w:val="en-GB"/>
        </w:rPr>
        <w:t>, until an “End date”</w:t>
      </w:r>
      <w:r w:rsidRPr="00BB664C">
        <w:rPr>
          <w:rFonts w:ascii="Times New Roman" w:eastAsia="Times New Roman" w:hAnsi="Times New Roman" w:cs="Times New Roman"/>
          <w:iCs/>
          <w:sz w:val="24"/>
          <w:szCs w:val="20"/>
          <w:vertAlign w:val="superscript"/>
          <w:lang w:val="en-GB"/>
        </w:rPr>
        <w:footnoteReference w:id="3"/>
      </w:r>
      <w:r w:rsidRPr="00BB664C">
        <w:rPr>
          <w:rFonts w:ascii="Times New Roman" w:eastAsia="Times New Roman" w:hAnsi="Times New Roman" w:cs="Times New Roman"/>
          <w:iCs/>
          <w:sz w:val="24"/>
          <w:szCs w:val="20"/>
          <w:lang w:val="en-GB"/>
        </w:rPr>
        <w:t xml:space="preserve"> to be determined depending on the durations of the projects</w:t>
      </w:r>
      <w:r w:rsidR="00FB4357" w:rsidRPr="00BB664C">
        <w:rPr>
          <w:rFonts w:ascii="Times New Roman" w:eastAsia="Times New Roman" w:hAnsi="Times New Roman" w:cs="Times New Roman"/>
          <w:iCs/>
          <w:sz w:val="24"/>
          <w:szCs w:val="20"/>
          <w:lang w:val="en-GB"/>
        </w:rPr>
        <w:t>,</w:t>
      </w:r>
      <w:r w:rsidRPr="00BB664C">
        <w:rPr>
          <w:rFonts w:ascii="Times New Roman" w:eastAsia="Times New Roman" w:hAnsi="Times New Roman" w:cs="Times New Roman"/>
          <w:iCs/>
          <w:sz w:val="24"/>
          <w:szCs w:val="20"/>
          <w:lang w:val="en-GB"/>
        </w:rPr>
        <w:t xml:space="preserve"> a test will be run (</w:t>
      </w:r>
      <w:r w:rsidRPr="00BB664C">
        <w:rPr>
          <w:rFonts w:ascii="Times New Roman" w:eastAsia="Times New Roman" w:hAnsi="Times New Roman" w:cs="Times New Roman"/>
          <w:sz w:val="24"/>
          <w:szCs w:val="20"/>
          <w:lang w:val="en-GB"/>
        </w:rPr>
        <w:t>"</w:t>
      </w:r>
      <w:r w:rsidRPr="00BB664C">
        <w:rPr>
          <w:rFonts w:ascii="Times New Roman" w:eastAsia="Times New Roman" w:hAnsi="Times New Roman" w:cs="Times New Roman"/>
          <w:iCs/>
          <w:sz w:val="24"/>
          <w:szCs w:val="20"/>
          <w:lang w:val="en-GB"/>
        </w:rPr>
        <w:t>the test-run</w:t>
      </w:r>
      <w:r w:rsidRPr="00BB664C">
        <w:rPr>
          <w:rFonts w:ascii="Times New Roman" w:eastAsia="Times New Roman" w:hAnsi="Times New Roman" w:cs="Times New Roman"/>
          <w:sz w:val="24"/>
          <w:szCs w:val="20"/>
          <w:lang w:val="en-GB"/>
        </w:rPr>
        <w:t>"</w:t>
      </w:r>
      <w:r w:rsidRPr="00BB664C">
        <w:rPr>
          <w:rFonts w:ascii="Times New Roman" w:eastAsia="Times New Roman" w:hAnsi="Times New Roman" w:cs="Times New Roman"/>
          <w:iCs/>
          <w:sz w:val="24"/>
          <w:szCs w:val="20"/>
          <w:lang w:val="en-GB"/>
        </w:rPr>
        <w:t xml:space="preserve">) and the following </w:t>
      </w:r>
      <w:proofErr w:type="spellStart"/>
      <w:r w:rsidRPr="00BB664C">
        <w:rPr>
          <w:rFonts w:ascii="Times New Roman" w:eastAsia="Times New Roman" w:hAnsi="Times New Roman" w:cs="Times New Roman"/>
          <w:bCs/>
          <w:iCs/>
          <w:sz w:val="24"/>
          <w:szCs w:val="20"/>
          <w:lang w:val="en-GB"/>
        </w:rPr>
        <w:t>Surplus</w:t>
      </w:r>
      <w:r w:rsidRPr="00BB664C">
        <w:rPr>
          <w:rFonts w:ascii="Times New Roman" w:eastAsia="Times New Roman" w:hAnsi="Times New Roman" w:cs="Times New Roman"/>
          <w:bCs/>
          <w:iCs/>
          <w:sz w:val="24"/>
          <w:szCs w:val="20"/>
          <w:vertAlign w:val="subscript"/>
          <w:lang w:val="en-GB"/>
        </w:rPr>
        <w:t>i</w:t>
      </w:r>
      <w:proofErr w:type="spellEnd"/>
      <w:r w:rsidRPr="00BB664C">
        <w:rPr>
          <w:rFonts w:ascii="Times New Roman" w:eastAsia="Times New Roman" w:hAnsi="Times New Roman" w:cs="Times New Roman"/>
          <w:bCs/>
          <w:iCs/>
          <w:sz w:val="24"/>
          <w:szCs w:val="20"/>
          <w:vertAlign w:val="subscript"/>
          <w:lang w:val="en-GB"/>
        </w:rPr>
        <w:t xml:space="preserve"> </w:t>
      </w:r>
      <w:r w:rsidRPr="00BB664C">
        <w:rPr>
          <w:rFonts w:ascii="Times New Roman" w:eastAsia="Times New Roman" w:hAnsi="Times New Roman" w:cs="Times New Roman"/>
          <w:iCs/>
          <w:sz w:val="24"/>
          <w:szCs w:val="20"/>
          <w:lang w:val="en-GB"/>
        </w:rPr>
        <w:t>for year i will be computed as the sum (positive or negative) of</w:t>
      </w:r>
      <w:r w:rsidR="00FB4357" w:rsidRPr="00BB664C">
        <w:rPr>
          <w:rStyle w:val="Voetnootmarkering"/>
          <w:rFonts w:ascii="Times New Roman" w:eastAsia="Times New Roman" w:hAnsi="Times New Roman" w:cs="Times New Roman"/>
          <w:iCs/>
          <w:sz w:val="24"/>
          <w:szCs w:val="20"/>
          <w:lang w:val="en-GB"/>
        </w:rPr>
        <w:footnoteReference w:id="4"/>
      </w:r>
      <w:r w:rsidR="006B0135" w:rsidRPr="00BB664C">
        <w:rPr>
          <w:rFonts w:ascii="Times New Roman" w:eastAsia="Times New Roman" w:hAnsi="Times New Roman" w:cs="Times New Roman"/>
          <w:iCs/>
          <w:sz w:val="24"/>
          <w:szCs w:val="20"/>
          <w:lang w:val="en-GB"/>
        </w:rPr>
        <w:t xml:space="preserve"> </w:t>
      </w:r>
      <w:r w:rsidRPr="00BB664C">
        <w:rPr>
          <w:rFonts w:ascii="Times New Roman" w:eastAsia="Times New Roman" w:hAnsi="Times New Roman" w:cs="Times New Roman"/>
          <w:iCs/>
          <w:sz w:val="24"/>
          <w:szCs w:val="20"/>
          <w:lang w:val="en-GB"/>
        </w:rPr>
        <w:t xml:space="preserve">the net present value </w:t>
      </w:r>
      <w:r w:rsidR="00C96EAA" w:rsidRPr="00BB664C">
        <w:rPr>
          <w:rFonts w:ascii="Times New Roman" w:eastAsia="Times New Roman" w:hAnsi="Times New Roman" w:cs="Times New Roman"/>
          <w:iCs/>
          <w:sz w:val="24"/>
          <w:szCs w:val="20"/>
          <w:lang w:val="en-GB"/>
        </w:rPr>
        <w:t>interest-adjusted to</w:t>
      </w:r>
      <w:r w:rsidRPr="00BB664C">
        <w:rPr>
          <w:rFonts w:ascii="Times New Roman" w:eastAsia="Times New Roman" w:hAnsi="Times New Roman" w:cs="Times New Roman"/>
          <w:iCs/>
          <w:sz w:val="24"/>
          <w:szCs w:val="20"/>
          <w:lang w:val="en-GB"/>
        </w:rPr>
        <w:t xml:space="preserve"> year “i” (using the notified WACC as </w:t>
      </w:r>
      <w:proofErr w:type="spellStart"/>
      <w:r w:rsidRPr="00BB664C">
        <w:rPr>
          <w:rFonts w:ascii="Times New Roman" w:eastAsia="Times New Roman" w:hAnsi="Times New Roman" w:cs="Times New Roman"/>
          <w:iCs/>
          <w:sz w:val="24"/>
          <w:szCs w:val="20"/>
          <w:lang w:val="en-GB"/>
        </w:rPr>
        <w:t>a</w:t>
      </w:r>
      <w:proofErr w:type="spellEnd"/>
      <w:r w:rsidRPr="00BB664C">
        <w:rPr>
          <w:rFonts w:ascii="Times New Roman" w:eastAsia="Times New Roman" w:hAnsi="Times New Roman" w:cs="Times New Roman"/>
          <w:iCs/>
          <w:sz w:val="24"/>
          <w:szCs w:val="20"/>
          <w:lang w:val="en-GB"/>
        </w:rPr>
        <w:t xml:space="preserve"> </w:t>
      </w:r>
      <w:r w:rsidR="00C96EAA" w:rsidRPr="00BB664C">
        <w:rPr>
          <w:rFonts w:ascii="Times New Roman" w:eastAsia="Times New Roman" w:hAnsi="Times New Roman" w:cs="Times New Roman"/>
          <w:iCs/>
          <w:sz w:val="24"/>
          <w:szCs w:val="20"/>
          <w:lang w:val="en-GB"/>
        </w:rPr>
        <w:t xml:space="preserve">interest-adjustment </w:t>
      </w:r>
      <w:r w:rsidRPr="00BB664C">
        <w:rPr>
          <w:rFonts w:ascii="Times New Roman" w:eastAsia="Times New Roman" w:hAnsi="Times New Roman" w:cs="Times New Roman"/>
          <w:iCs/>
          <w:sz w:val="24"/>
          <w:szCs w:val="20"/>
          <w:lang w:val="en-GB"/>
        </w:rPr>
        <w:t>factor</w:t>
      </w:r>
      <w:r w:rsidRPr="00BB664C">
        <w:rPr>
          <w:rFonts w:ascii="Times New Roman" w:eastAsia="Times New Roman" w:hAnsi="Times New Roman" w:cs="Times New Roman"/>
          <w:iCs/>
          <w:sz w:val="24"/>
          <w:szCs w:val="20"/>
          <w:vertAlign w:val="superscript"/>
          <w:lang w:val="en-GB"/>
        </w:rPr>
        <w:footnoteReference w:id="5"/>
      </w:r>
      <w:r w:rsidRPr="00BB664C">
        <w:rPr>
          <w:rFonts w:ascii="Times New Roman" w:eastAsia="Times New Roman" w:hAnsi="Times New Roman" w:cs="Times New Roman"/>
          <w:iCs/>
          <w:sz w:val="24"/>
          <w:szCs w:val="20"/>
          <w:lang w:val="en-GB"/>
        </w:rPr>
        <w:t xml:space="preserve">) of the actual </w:t>
      </w:r>
      <w:r w:rsidRPr="00BB664C">
        <w:rPr>
          <w:rFonts w:ascii="Times New Roman" w:eastAsia="Times New Roman" w:hAnsi="Times New Roman" w:cs="Times New Roman"/>
          <w:i/>
          <w:iCs/>
          <w:sz w:val="24"/>
          <w:szCs w:val="20"/>
          <w:lang w:val="en-GB"/>
        </w:rPr>
        <w:t>ex post</w:t>
      </w:r>
      <w:r w:rsidRPr="00BB664C">
        <w:rPr>
          <w:rFonts w:ascii="Times New Roman" w:eastAsia="Times New Roman" w:hAnsi="Times New Roman" w:cs="Times New Roman"/>
          <w:iCs/>
          <w:sz w:val="24"/>
          <w:szCs w:val="20"/>
          <w:lang w:val="en-GB"/>
        </w:rPr>
        <w:t xml:space="preserve"> audited post-tax cash flows</w:t>
      </w:r>
      <w:r w:rsidR="00BE4526" w:rsidRPr="00BB664C">
        <w:rPr>
          <w:rFonts w:ascii="Times New Roman" w:eastAsia="Times New Roman" w:hAnsi="Times New Roman" w:cs="Times New Roman"/>
          <w:iCs/>
          <w:sz w:val="24"/>
          <w:szCs w:val="20"/>
          <w:lang w:val="en-GB"/>
        </w:rPr>
        <w:t xml:space="preserve"> </w:t>
      </w:r>
      <w:proofErr w:type="spellStart"/>
      <w:r w:rsidR="00BE4526" w:rsidRPr="00BB664C">
        <w:rPr>
          <w:rFonts w:ascii="Times New Roman" w:eastAsia="Times New Roman" w:hAnsi="Times New Roman" w:cs="Times New Roman"/>
          <w:iCs/>
          <w:sz w:val="24"/>
          <w:szCs w:val="20"/>
          <w:lang w:val="en-GB"/>
        </w:rPr>
        <w:t>CF</w:t>
      </w:r>
      <w:r w:rsidR="00BE4526" w:rsidRPr="00BB664C">
        <w:rPr>
          <w:rFonts w:ascii="Times New Roman" w:eastAsia="Times New Roman" w:hAnsi="Times New Roman" w:cs="Times New Roman"/>
          <w:iCs/>
          <w:sz w:val="24"/>
          <w:szCs w:val="20"/>
          <w:vertAlign w:val="subscript"/>
          <w:lang w:val="en-GB"/>
        </w:rPr>
        <w:t>k</w:t>
      </w:r>
      <w:proofErr w:type="spellEnd"/>
      <w:r w:rsidRPr="00BB664C">
        <w:rPr>
          <w:rFonts w:ascii="Times New Roman" w:eastAsia="Times New Roman" w:hAnsi="Times New Roman" w:cs="Times New Roman"/>
          <w:iCs/>
          <w:sz w:val="24"/>
          <w:szCs w:val="20"/>
          <w:lang w:val="en-GB"/>
        </w:rPr>
        <w:t xml:space="preserve"> (</w:t>
      </w:r>
      <w:r w:rsidR="006B0135" w:rsidRPr="00BB664C">
        <w:rPr>
          <w:rFonts w:ascii="Times New Roman" w:eastAsia="Times New Roman" w:hAnsi="Times New Roman" w:cs="Times New Roman"/>
          <w:iCs/>
          <w:sz w:val="24"/>
          <w:szCs w:val="20"/>
          <w:lang w:val="en-GB"/>
        </w:rPr>
        <w:t>including Capex, State aid payments and indirect subsidies; excluding financing cash flows</w:t>
      </w:r>
      <w:r w:rsidRPr="00BB664C">
        <w:rPr>
          <w:rFonts w:ascii="Times New Roman" w:eastAsia="Times New Roman" w:hAnsi="Times New Roman" w:cs="Times New Roman"/>
          <w:iCs/>
          <w:sz w:val="24"/>
          <w:szCs w:val="20"/>
          <w:lang w:val="en-GB"/>
        </w:rPr>
        <w:t xml:space="preserve">) from </w:t>
      </w:r>
      <w:r w:rsidRPr="00BB664C">
        <w:rPr>
          <w:rFonts w:ascii="Times New Roman" w:eastAsia="Times New Roman" w:hAnsi="Times New Roman" w:cs="Times New Roman"/>
          <w:sz w:val="24"/>
          <w:szCs w:val="20"/>
          <w:lang w:val="en-GB"/>
        </w:rPr>
        <w:t>202</w:t>
      </w:r>
      <w:r w:rsidR="00984654" w:rsidRPr="00BB664C">
        <w:rPr>
          <w:rFonts w:ascii="Times New Roman" w:eastAsia="Times New Roman" w:hAnsi="Times New Roman" w:cs="Times New Roman"/>
          <w:sz w:val="24"/>
          <w:szCs w:val="20"/>
          <w:lang w:val="en-GB"/>
        </w:rPr>
        <w:t>2</w:t>
      </w:r>
      <w:r w:rsidRPr="00BB664C">
        <w:rPr>
          <w:rFonts w:ascii="Times New Roman" w:eastAsia="Times New Roman" w:hAnsi="Times New Roman" w:cs="Times New Roman"/>
          <w:iCs/>
          <w:sz w:val="24"/>
          <w:szCs w:val="20"/>
          <w:lang w:val="en-GB"/>
        </w:rPr>
        <w:t xml:space="preserve"> to year “i”</w:t>
      </w:r>
      <w:r w:rsidR="00C1199E" w:rsidRPr="00BB664C">
        <w:rPr>
          <w:rStyle w:val="Voetnootmarkering"/>
          <w:rFonts w:ascii="Times New Roman" w:eastAsia="Times New Roman" w:hAnsi="Times New Roman" w:cs="Times New Roman"/>
          <w:iCs/>
          <w:sz w:val="24"/>
          <w:szCs w:val="20"/>
          <w:lang w:val="en-GB"/>
        </w:rPr>
        <w:footnoteReference w:id="6"/>
      </w:r>
      <w:r w:rsidR="006B0135" w:rsidRPr="00BB664C">
        <w:rPr>
          <w:rFonts w:ascii="Times New Roman" w:eastAsia="Times New Roman" w:hAnsi="Times New Roman" w:cs="Times New Roman"/>
          <w:iCs/>
          <w:sz w:val="24"/>
          <w:szCs w:val="20"/>
          <w:lang w:val="en-GB"/>
        </w:rPr>
        <w:t xml:space="preserve">.Indirect subsidies are </w:t>
      </w:r>
      <w:r w:rsidR="00FB4357" w:rsidRPr="00BB664C">
        <w:rPr>
          <w:rFonts w:ascii="Times New Roman" w:eastAsia="Times New Roman" w:hAnsi="Times New Roman" w:cs="Times New Roman"/>
          <w:iCs/>
          <w:sz w:val="24"/>
          <w:szCs w:val="20"/>
          <w:lang w:val="en-GB"/>
        </w:rPr>
        <w:t xml:space="preserve">further revenues from other financial contributions or indirect subsidies </w:t>
      </w:r>
      <w:r w:rsidR="00821A96" w:rsidRPr="00BB664C">
        <w:rPr>
          <w:rFonts w:ascii="Times New Roman" w:eastAsia="Times New Roman" w:hAnsi="Times New Roman" w:cs="Times New Roman"/>
          <w:iCs/>
          <w:sz w:val="24"/>
          <w:szCs w:val="20"/>
          <w:lang w:val="en-GB"/>
        </w:rPr>
        <w:t>as negative costs</w:t>
      </w:r>
      <w:r w:rsidR="00FB4357" w:rsidRPr="00BB664C">
        <w:rPr>
          <w:rFonts w:ascii="Times New Roman" w:eastAsia="Times New Roman" w:hAnsi="Times New Roman" w:cs="Times New Roman"/>
          <w:iCs/>
          <w:sz w:val="24"/>
          <w:szCs w:val="20"/>
          <w:lang w:val="en-GB"/>
        </w:rPr>
        <w:t>. For example,</w:t>
      </w:r>
      <w:r w:rsidR="00821A96" w:rsidRPr="00BB664C">
        <w:rPr>
          <w:rFonts w:ascii="Times New Roman" w:eastAsia="Times New Roman" w:hAnsi="Times New Roman" w:cs="Times New Roman"/>
          <w:iCs/>
          <w:sz w:val="24"/>
          <w:szCs w:val="20"/>
          <w:lang w:val="en-GB"/>
        </w:rPr>
        <w:t xml:space="preserve"> if the conduct of the project leads to a decreased demand for ETS certificates</w:t>
      </w:r>
      <w:r w:rsidR="00FB4357" w:rsidRPr="00BB664C">
        <w:rPr>
          <w:rFonts w:ascii="Times New Roman" w:eastAsia="Times New Roman" w:hAnsi="Times New Roman" w:cs="Times New Roman"/>
          <w:iCs/>
          <w:sz w:val="24"/>
          <w:szCs w:val="20"/>
          <w:lang w:val="en-GB"/>
        </w:rPr>
        <w:t>, saved ETS costs would be added to the state aid disbursements</w:t>
      </w:r>
      <w:r w:rsidR="00584E52">
        <w:rPr>
          <w:rFonts w:ascii="Times New Roman" w:eastAsia="Times New Roman" w:hAnsi="Times New Roman" w:cs="Times New Roman"/>
          <w:iCs/>
          <w:sz w:val="24"/>
          <w:szCs w:val="20"/>
          <w:lang w:val="en-GB"/>
        </w:rPr>
        <w:t xml:space="preserve">, </w:t>
      </w:r>
      <w:r w:rsidR="00584E52" w:rsidRPr="00584E52">
        <w:rPr>
          <w:rFonts w:ascii="Times New Roman" w:eastAsia="Times New Roman" w:hAnsi="Times New Roman" w:cs="Times New Roman"/>
          <w:iCs/>
          <w:sz w:val="24"/>
          <w:szCs w:val="20"/>
          <w:lang w:val="en-GB"/>
        </w:rPr>
        <w:t xml:space="preserve">if these are part of the basic scenario of the </w:t>
      </w:r>
      <w:r w:rsidR="00584E52" w:rsidRPr="00584E52">
        <w:rPr>
          <w:rFonts w:ascii="Times New Roman" w:eastAsia="Times New Roman" w:hAnsi="Times New Roman" w:cs="Times New Roman"/>
          <w:iCs/>
          <w:sz w:val="24"/>
          <w:szCs w:val="20"/>
          <w:lang w:val="en-GB"/>
        </w:rPr>
        <w:lastRenderedPageBreak/>
        <w:t>notified Funding Gap Analyses; if they are taken into account in the counterfactual scenario of the FGA and the notified aid is reduced accordingly, no consideration in the clawback-mechanism is required.</w:t>
      </w:r>
    </w:p>
    <w:p w14:paraId="469C41C8" w14:textId="73945F75" w:rsidR="00C93DC6" w:rsidRDefault="00C93DC6" w:rsidP="00AC010E">
      <w:pPr>
        <w:spacing w:after="120" w:line="240" w:lineRule="auto"/>
        <w:jc w:val="both"/>
        <w:rPr>
          <w:rFonts w:ascii="Times New Roman" w:eastAsia="Times New Roman" w:hAnsi="Times New Roman" w:cs="Times New Roman"/>
          <w:iCs/>
          <w:sz w:val="24"/>
          <w:szCs w:val="20"/>
          <w:lang w:val="en-GB"/>
        </w:rPr>
      </w:pPr>
    </w:p>
    <w:p w14:paraId="73A9EEA6" w14:textId="781A8C32" w:rsidR="00C93DC6" w:rsidRDefault="00C93DC6" w:rsidP="00C93DC6">
      <w:pPr>
        <w:spacing w:after="120" w:line="240" w:lineRule="auto"/>
        <w:jc w:val="both"/>
        <w:rPr>
          <w:rFonts w:ascii="Times New Roman" w:eastAsia="Times New Roman" w:hAnsi="Times New Roman" w:cs="Times New Roman"/>
          <w:iCs/>
          <w:sz w:val="24"/>
          <w:szCs w:val="20"/>
          <w:lang w:val="en-GB"/>
        </w:rPr>
      </w:pPr>
      <w:r w:rsidRPr="00BB664C">
        <w:rPr>
          <w:rFonts w:ascii="Times New Roman" w:eastAsia="Times New Roman" w:hAnsi="Times New Roman" w:cs="Times New Roman"/>
          <w:iCs/>
          <w:sz w:val="24"/>
          <w:szCs w:val="20"/>
          <w:lang w:val="en-GB"/>
        </w:rPr>
        <w:t>The</w:t>
      </w:r>
      <w:r w:rsidRPr="00BB664C">
        <w:rPr>
          <w:rFonts w:ascii="Times New Roman" w:eastAsia="Times New Roman" w:hAnsi="Times New Roman" w:cs="Times New Roman"/>
          <w:bCs/>
          <w:iCs/>
          <w:sz w:val="24"/>
          <w:szCs w:val="20"/>
          <w:lang w:val="en-GB"/>
        </w:rPr>
        <w:t xml:space="preserve"> </w:t>
      </w:r>
      <w:proofErr w:type="spellStart"/>
      <w:r w:rsidRPr="00BB664C">
        <w:rPr>
          <w:rFonts w:ascii="Times New Roman" w:eastAsia="Times New Roman" w:hAnsi="Times New Roman" w:cs="Times New Roman"/>
          <w:bCs/>
          <w:iCs/>
          <w:sz w:val="24"/>
          <w:szCs w:val="20"/>
          <w:lang w:val="en-GB"/>
        </w:rPr>
        <w:t>Surplus</w:t>
      </w:r>
      <w:r w:rsidRPr="00BB664C">
        <w:rPr>
          <w:rFonts w:ascii="Times New Roman" w:eastAsia="Times New Roman" w:hAnsi="Times New Roman" w:cs="Times New Roman"/>
          <w:bCs/>
          <w:iCs/>
          <w:sz w:val="24"/>
          <w:szCs w:val="20"/>
          <w:vertAlign w:val="subscript"/>
          <w:lang w:val="en-GB"/>
        </w:rPr>
        <w:t>i</w:t>
      </w:r>
      <w:proofErr w:type="spellEnd"/>
      <w:r w:rsidRPr="00BB664C">
        <w:rPr>
          <w:rFonts w:ascii="Times New Roman" w:eastAsia="Times New Roman" w:hAnsi="Times New Roman" w:cs="Times New Roman"/>
          <w:iCs/>
          <w:sz w:val="24"/>
          <w:szCs w:val="20"/>
          <w:lang w:val="en-GB"/>
        </w:rPr>
        <w:t xml:space="preserve">, if it is positive, will be multiplied by </w:t>
      </w:r>
      <w:r w:rsidR="00555764">
        <w:rPr>
          <w:rFonts w:ascii="Times New Roman" w:eastAsia="Times New Roman" w:hAnsi="Times New Roman" w:cs="Times New Roman"/>
          <w:iCs/>
          <w:sz w:val="24"/>
          <w:szCs w:val="20"/>
          <w:lang w:val="en-GB"/>
        </w:rPr>
        <w:t xml:space="preserve">an allocation ratio </w:t>
      </w:r>
      <m:oMath>
        <m:r>
          <w:rPr>
            <w:rFonts w:ascii="Cambria Math" w:eastAsia="Times New Roman" w:hAnsi="Cambria Math" w:cs="Times New Roman"/>
            <w:sz w:val="24"/>
            <w:szCs w:val="20"/>
            <w:lang w:val="en-GB"/>
          </w:rPr>
          <m:t>ShareState_i</m:t>
        </m:r>
      </m:oMath>
      <w:r w:rsidR="00555764">
        <w:rPr>
          <w:rFonts w:ascii="Times New Roman" w:eastAsia="Times New Roman" w:hAnsi="Times New Roman" w:cs="Times New Roman"/>
          <w:iCs/>
          <w:sz w:val="24"/>
          <w:szCs w:val="20"/>
          <w:lang w:val="en-GB"/>
        </w:rPr>
        <w:t xml:space="preserve"> defined as </w:t>
      </w:r>
      <w:r>
        <w:rPr>
          <w:rFonts w:ascii="Times New Roman" w:eastAsia="Times New Roman" w:hAnsi="Times New Roman" w:cs="Times New Roman"/>
          <w:iCs/>
          <w:sz w:val="24"/>
          <w:szCs w:val="20"/>
          <w:lang w:val="en-GB"/>
        </w:rPr>
        <w:t xml:space="preserve">the lower of 60% or a Quotient </w:t>
      </w:r>
      <m:oMath>
        <m:sSub>
          <m:sSubPr>
            <m:ctrlPr>
              <w:rPr>
                <w:rFonts w:ascii="Cambria Math" w:eastAsia="Times New Roman" w:hAnsi="Cambria Math" w:cs="Times New Roman"/>
                <w:i/>
                <w:iCs/>
                <w:sz w:val="24"/>
                <w:szCs w:val="20"/>
                <w:lang w:val="en-GB"/>
              </w:rPr>
            </m:ctrlPr>
          </m:sSubPr>
          <m:e>
            <m:r>
              <w:rPr>
                <w:rFonts w:ascii="Cambria Math" w:eastAsia="Times New Roman" w:hAnsi="Cambria Math" w:cs="Times New Roman"/>
                <w:sz w:val="24"/>
                <w:szCs w:val="20"/>
                <w:lang w:val="en-GB"/>
              </w:rPr>
              <m:t>Q</m:t>
            </m:r>
          </m:e>
          <m:sub>
            <m:r>
              <w:rPr>
                <w:rFonts w:ascii="Cambria Math" w:eastAsia="Times New Roman" w:hAnsi="Cambria Math" w:cs="Times New Roman"/>
                <w:sz w:val="24"/>
                <w:szCs w:val="20"/>
                <w:lang w:val="en-GB"/>
              </w:rPr>
              <m:t>i</m:t>
            </m:r>
          </m:sub>
        </m:sSub>
      </m:oMath>
      <w:r>
        <w:rPr>
          <w:rFonts w:ascii="Times New Roman" w:eastAsia="Times New Roman" w:hAnsi="Times New Roman" w:cs="Times New Roman"/>
          <w:iCs/>
          <w:sz w:val="24"/>
          <w:szCs w:val="20"/>
          <w:lang w:val="en-GB"/>
        </w:rPr>
        <w:t xml:space="preserve"> defined as follows:</w:t>
      </w:r>
    </w:p>
    <w:p w14:paraId="6C562137" w14:textId="77777777" w:rsidR="00C93DC6" w:rsidRDefault="00C93DC6" w:rsidP="00C93DC6">
      <w:pPr>
        <w:spacing w:after="120" w:line="240" w:lineRule="auto"/>
        <w:jc w:val="both"/>
        <w:rPr>
          <w:rFonts w:ascii="Times New Roman" w:eastAsia="Times New Roman" w:hAnsi="Times New Roman" w:cs="Times New Roman"/>
          <w:iCs/>
          <w:sz w:val="24"/>
          <w:szCs w:val="20"/>
          <w:lang w:val="en-GB"/>
        </w:rPr>
      </w:pPr>
    </w:p>
    <w:p w14:paraId="279555FD" w14:textId="14DFDBEA" w:rsidR="00C93DC6" w:rsidRDefault="00A334DA" w:rsidP="00C93DC6">
      <w:pPr>
        <w:spacing w:after="120" w:line="240" w:lineRule="auto"/>
        <w:jc w:val="both"/>
        <w:rPr>
          <w:rFonts w:ascii="Times New Roman" w:eastAsia="Times New Roman" w:hAnsi="Times New Roman" w:cs="Times New Roman"/>
          <w:iCs/>
          <w:sz w:val="24"/>
          <w:szCs w:val="20"/>
          <w:lang w:val="en-GB"/>
        </w:rPr>
      </w:pPr>
      <m:oMathPara>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sub>
          </m:sSub>
          <m:r>
            <w:rPr>
              <w:rFonts w:ascii="Cambria Math" w:hAnsi="Cambria Math"/>
            </w:rPr>
            <m:t xml:space="preserve">= </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k</m:t>
                      </m:r>
                    </m:sub>
                  </m:sSub>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1+WACC</m:t>
                          </m:r>
                        </m:e>
                      </m:d>
                    </m:e>
                    <m:sup>
                      <m:r>
                        <w:rPr>
                          <w:rFonts w:ascii="Cambria Math" w:hAnsi="Cambria Math" w:cs="Arial"/>
                          <w:sz w:val="20"/>
                          <w:szCs w:val="20"/>
                        </w:rPr>
                        <m:t>i-k</m:t>
                      </m:r>
                    </m:sup>
                  </m:sSup>
                </m:e>
              </m:nary>
            </m:num>
            <m:den>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r>
                    <w:rPr>
                      <w:rFonts w:ascii="Cambria Math" w:hAnsi="Cambria Math" w:cs="Arial"/>
                      <w:sz w:val="20"/>
                      <w:szCs w:val="20"/>
                    </w:rPr>
                    <m:t>E</m:t>
                  </m:r>
                  <m:sSubSup>
                    <m:sSubSupPr>
                      <m:ctrlPr>
                        <w:rPr>
                          <w:rFonts w:ascii="Cambria Math" w:hAnsi="Cambria Math" w:cs="Arial"/>
                          <w:i/>
                          <w:sz w:val="20"/>
                          <w:szCs w:val="20"/>
                        </w:rPr>
                      </m:ctrlPr>
                    </m:sSubSupPr>
                    <m:e>
                      <m:r>
                        <w:rPr>
                          <w:rFonts w:ascii="Cambria Math" w:hAnsi="Cambria Math" w:cs="Arial"/>
                          <w:sz w:val="20"/>
                          <w:szCs w:val="20"/>
                        </w:rPr>
                        <m:t>l</m:t>
                      </m:r>
                    </m:e>
                    <m:sub>
                      <m:r>
                        <w:rPr>
                          <w:rFonts w:ascii="Cambria Math" w:hAnsi="Cambria Math" w:cs="Arial"/>
                          <w:sz w:val="20"/>
                          <w:szCs w:val="20"/>
                        </w:rPr>
                        <m:t xml:space="preserve">k </m:t>
                      </m:r>
                    </m:sub>
                    <m:sup/>
                  </m:sSub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1+WACC</m:t>
                          </m:r>
                        </m:e>
                      </m:d>
                    </m:e>
                    <m:sup>
                      <m:r>
                        <w:rPr>
                          <w:rFonts w:ascii="Cambria Math" w:hAnsi="Cambria Math" w:cs="Arial"/>
                          <w:sz w:val="20"/>
                          <w:szCs w:val="20"/>
                        </w:rPr>
                        <m:t>i-k</m:t>
                      </m:r>
                    </m:sup>
                  </m:sSup>
                </m:e>
              </m:nary>
            </m:den>
          </m:f>
          <m:r>
            <w:rPr>
              <w:rFonts w:ascii="Cambria Math" w:hAnsi="Cambria Math" w:cs="Arial"/>
              <w:sz w:val="20"/>
              <w:szCs w:val="20"/>
            </w:rPr>
            <m:t xml:space="preserve"> </m:t>
          </m:r>
        </m:oMath>
      </m:oMathPara>
    </w:p>
    <w:p w14:paraId="1E1F087D" w14:textId="408F4D28" w:rsidR="00C93DC6" w:rsidRDefault="00C93DC6" w:rsidP="00AC010E">
      <w:pPr>
        <w:spacing w:after="120" w:line="240" w:lineRule="auto"/>
        <w:jc w:val="both"/>
        <w:rPr>
          <w:rFonts w:ascii="Times New Roman" w:eastAsia="Times New Roman" w:hAnsi="Times New Roman" w:cs="Times New Roman"/>
          <w:iCs/>
          <w:sz w:val="24"/>
          <w:szCs w:val="20"/>
          <w:lang w:val="en-GB"/>
        </w:rPr>
      </w:pPr>
      <w:r>
        <w:rPr>
          <w:rFonts w:ascii="Times New Roman" w:eastAsia="Times New Roman" w:hAnsi="Times New Roman" w:cs="Times New Roman"/>
          <w:iCs/>
          <w:sz w:val="24"/>
          <w:szCs w:val="20"/>
          <w:lang w:val="en-GB"/>
        </w:rPr>
        <w:t>where</w:t>
      </w:r>
    </w:p>
    <w:p w14:paraId="548FDACF" w14:textId="2A3DFA56" w:rsidR="00C93DC6" w:rsidRDefault="00C93DC6" w:rsidP="00AC010E">
      <w:pPr>
        <w:spacing w:after="120" w:line="240" w:lineRule="auto"/>
        <w:jc w:val="both"/>
        <w:rPr>
          <w:rFonts w:ascii="Times New Roman" w:eastAsia="Times New Roman" w:hAnsi="Times New Roman" w:cs="Times New Roman"/>
          <w:iCs/>
          <w:sz w:val="24"/>
          <w:szCs w:val="20"/>
          <w:lang w:val="en-GB"/>
        </w:rPr>
      </w:pPr>
      <m:oMathPara>
        <m:oMath>
          <m:r>
            <w:rPr>
              <w:rFonts w:ascii="Cambria Math" w:eastAsia="Times New Roman" w:hAnsi="Cambria Math" w:cs="Times New Roman"/>
              <w:sz w:val="16"/>
              <w:szCs w:val="16"/>
              <w:lang w:val="en-GB"/>
            </w:rPr>
            <m:t>E</m:t>
          </m:r>
          <m:sSub>
            <m:sSubPr>
              <m:ctrlPr>
                <w:rPr>
                  <w:rFonts w:ascii="Cambria Math" w:eastAsia="Times New Roman" w:hAnsi="Cambria Math" w:cs="Times New Roman"/>
                  <w:i/>
                  <w:iCs/>
                  <w:sz w:val="16"/>
                  <w:szCs w:val="16"/>
                  <w:lang w:val="en-GB"/>
                </w:rPr>
              </m:ctrlPr>
            </m:sSubPr>
            <m:e>
              <m:r>
                <w:rPr>
                  <w:rFonts w:ascii="Cambria Math" w:eastAsia="Times New Roman" w:hAnsi="Cambria Math" w:cs="Times New Roman"/>
                  <w:sz w:val="16"/>
                  <w:szCs w:val="16"/>
                  <w:lang w:val="en-GB"/>
                </w:rPr>
                <m:t>l</m:t>
              </m:r>
            </m:e>
            <m:sub>
              <m:r>
                <w:rPr>
                  <w:rFonts w:ascii="Cambria Math" w:eastAsia="Times New Roman" w:hAnsi="Cambria Math" w:cs="Times New Roman"/>
                  <w:sz w:val="16"/>
                  <w:szCs w:val="16"/>
                  <w:lang w:val="en-GB"/>
                </w:rPr>
                <m:t>k</m:t>
              </m:r>
            </m:sub>
          </m:sSub>
          <m:r>
            <w:rPr>
              <w:rFonts w:ascii="Cambria Math" w:eastAsia="Times New Roman" w:hAnsi="Cambria Math" w:cs="Times New Roman"/>
              <w:sz w:val="16"/>
              <w:szCs w:val="16"/>
              <w:lang w:val="en-GB"/>
            </w:rPr>
            <m:t xml:space="preserve">= </m:t>
          </m:r>
          <m:d>
            <m:dPr>
              <m:begChr m:val="{"/>
              <m:endChr m:val=""/>
              <m:ctrlPr>
                <w:rPr>
                  <w:rFonts w:ascii="Cambria Math" w:eastAsia="Times New Roman" w:hAnsi="Cambria Math" w:cs="Times New Roman"/>
                  <w:i/>
                  <w:iCs/>
                  <w:sz w:val="16"/>
                  <w:szCs w:val="16"/>
                  <w:lang w:val="en-GB"/>
                </w:rPr>
              </m:ctrlPr>
            </m:dPr>
            <m:e>
              <m:eqArr>
                <m:eqArrPr>
                  <m:ctrlPr>
                    <w:rPr>
                      <w:rFonts w:ascii="Cambria Math" w:eastAsia="Times New Roman" w:hAnsi="Cambria Math" w:cs="Times New Roman"/>
                      <w:i/>
                      <w:iCs/>
                      <w:sz w:val="16"/>
                      <w:szCs w:val="16"/>
                      <w:lang w:val="en-GB"/>
                    </w:rPr>
                  </m:ctrlPr>
                </m:eqArrPr>
                <m:e>
                  <m:r>
                    <w:rPr>
                      <w:rFonts w:ascii="Cambria Math" w:eastAsia="Times New Roman" w:hAnsi="Cambria Math" w:cs="Times New Roman"/>
                      <w:sz w:val="16"/>
                      <w:szCs w:val="16"/>
                      <w:lang w:val="en-GB"/>
                    </w:rPr>
                    <m:t>E</m:t>
                  </m:r>
                  <m:sSubSup>
                    <m:sSubSupPr>
                      <m:ctrlPr>
                        <w:rPr>
                          <w:rFonts w:ascii="Cambria Math" w:eastAsia="Times New Roman" w:hAnsi="Cambria Math" w:cs="Times New Roman"/>
                          <w:i/>
                          <w:iCs/>
                          <w:sz w:val="16"/>
                          <w:szCs w:val="16"/>
                          <w:lang w:val="en-GB"/>
                        </w:rPr>
                      </m:ctrlPr>
                    </m:sSubSupPr>
                    <m:e>
                      <m:r>
                        <w:rPr>
                          <w:rFonts w:ascii="Cambria Math" w:eastAsia="Times New Roman" w:hAnsi="Cambria Math" w:cs="Times New Roman"/>
                          <w:sz w:val="16"/>
                          <w:szCs w:val="16"/>
                          <w:lang w:val="en-GB"/>
                        </w:rPr>
                        <m:t>l</m:t>
                      </m:r>
                    </m:e>
                    <m:sub>
                      <m:r>
                        <w:rPr>
                          <w:rFonts w:ascii="Cambria Math" w:eastAsia="Times New Roman" w:hAnsi="Cambria Math" w:cs="Times New Roman"/>
                          <w:sz w:val="16"/>
                          <w:szCs w:val="16"/>
                          <w:lang w:val="en-GB"/>
                        </w:rPr>
                        <m:t>k</m:t>
                      </m:r>
                    </m:sub>
                    <m:sup>
                      <m:r>
                        <w:rPr>
                          <w:rFonts w:ascii="Cambria Math" w:eastAsia="Times New Roman" w:hAnsi="Cambria Math" w:cs="Times New Roman"/>
                          <w:sz w:val="16"/>
                          <w:szCs w:val="16"/>
                          <w:lang w:val="en-GB"/>
                        </w:rPr>
                        <m:t>A</m:t>
                      </m:r>
                    </m:sup>
                  </m:sSubSup>
                  <m:r>
                    <w:rPr>
                      <w:rFonts w:ascii="Cambria Math" w:eastAsia="Times New Roman" w:hAnsi="Cambria Math" w:cs="Times New Roman"/>
                      <w:sz w:val="16"/>
                      <w:szCs w:val="16"/>
                      <w:lang w:val="en-GB"/>
                    </w:rPr>
                    <m:t>=Eligible costs for projects notified according to Art.22,23 of IPCEI comm</m:t>
                  </m:r>
                </m:e>
                <m:e>
                  <m:r>
                    <w:rPr>
                      <w:rFonts w:ascii="Cambria Math" w:eastAsia="Times New Roman" w:hAnsi="Cambria Math" w:cs="Times New Roman"/>
                      <w:sz w:val="16"/>
                      <w:szCs w:val="16"/>
                      <w:lang w:val="en-GB"/>
                    </w:rPr>
                    <m:t>E</m:t>
                  </m:r>
                  <m:sSubSup>
                    <m:sSubSupPr>
                      <m:ctrlPr>
                        <w:rPr>
                          <w:rFonts w:ascii="Cambria Math" w:eastAsia="Times New Roman" w:hAnsi="Cambria Math" w:cs="Times New Roman"/>
                          <w:i/>
                          <w:iCs/>
                          <w:sz w:val="16"/>
                          <w:szCs w:val="16"/>
                          <w:lang w:val="en-GB"/>
                        </w:rPr>
                      </m:ctrlPr>
                    </m:sSubSupPr>
                    <m:e>
                      <m:r>
                        <w:rPr>
                          <w:rFonts w:ascii="Cambria Math" w:eastAsia="Times New Roman" w:hAnsi="Cambria Math" w:cs="Times New Roman"/>
                          <w:sz w:val="16"/>
                          <w:szCs w:val="16"/>
                          <w:lang w:val="en-GB"/>
                        </w:rPr>
                        <m:t>l</m:t>
                      </m:r>
                    </m:e>
                    <m:sub>
                      <m:r>
                        <w:rPr>
                          <w:rFonts w:ascii="Cambria Math" w:eastAsia="Times New Roman" w:hAnsi="Cambria Math" w:cs="Times New Roman"/>
                          <w:sz w:val="16"/>
                          <w:szCs w:val="16"/>
                          <w:lang w:val="en-GB"/>
                        </w:rPr>
                        <m:t>k</m:t>
                      </m:r>
                    </m:sub>
                    <m:sup>
                      <m:r>
                        <w:rPr>
                          <w:rFonts w:ascii="Cambria Math" w:eastAsia="Times New Roman" w:hAnsi="Cambria Math" w:cs="Times New Roman"/>
                          <w:sz w:val="16"/>
                          <w:szCs w:val="16"/>
                          <w:lang w:val="en-GB"/>
                        </w:rPr>
                        <m:t>B</m:t>
                      </m:r>
                    </m:sup>
                  </m:sSubSup>
                  <m:r>
                    <w:rPr>
                      <w:rFonts w:ascii="Cambria Math" w:eastAsia="Times New Roman" w:hAnsi="Cambria Math" w:cs="Times New Roman"/>
                      <w:sz w:val="16"/>
                      <w:szCs w:val="16"/>
                      <w:lang w:val="en-GB"/>
                    </w:rPr>
                    <m:t xml:space="preserve">=CAPEX-part of eligible Costs for projects notified according to Art. 25 of IPCEI comm </m:t>
                  </m:r>
                </m:e>
              </m:eqArr>
            </m:e>
          </m:d>
        </m:oMath>
      </m:oMathPara>
    </w:p>
    <w:p w14:paraId="53A3EEAD" w14:textId="3F74F21B" w:rsidR="007E47BE" w:rsidRDefault="007E47BE" w:rsidP="00AC010E">
      <w:pPr>
        <w:spacing w:after="120" w:line="240" w:lineRule="auto"/>
        <w:jc w:val="both"/>
        <w:rPr>
          <w:rFonts w:ascii="Times New Roman" w:eastAsia="Times New Roman" w:hAnsi="Times New Roman" w:cs="Times New Roman"/>
          <w:iCs/>
          <w:sz w:val="24"/>
          <w:szCs w:val="20"/>
          <w:lang w:val="en-GB"/>
        </w:rPr>
      </w:pPr>
      <w:r>
        <w:rPr>
          <w:rFonts w:ascii="Times New Roman" w:eastAsia="Times New Roman" w:hAnsi="Times New Roman" w:cs="Times New Roman"/>
          <w:iCs/>
          <w:sz w:val="24"/>
          <w:szCs w:val="20"/>
          <w:lang w:val="en-GB"/>
        </w:rPr>
        <w:t xml:space="preserve">and </w:t>
      </w:r>
      <m:oMath>
        <m:r>
          <w:rPr>
            <w:rFonts w:ascii="Cambria Math" w:eastAsia="Times New Roman" w:hAnsi="Cambria Math" w:cs="Times New Roman"/>
            <w:sz w:val="24"/>
            <w:szCs w:val="20"/>
            <w:lang w:val="en-GB"/>
          </w:rPr>
          <m:t>S</m:t>
        </m:r>
        <m:sSub>
          <m:sSubPr>
            <m:ctrlPr>
              <w:rPr>
                <w:rFonts w:ascii="Cambria Math" w:eastAsia="Times New Roman" w:hAnsi="Cambria Math" w:cs="Times New Roman"/>
                <w:i/>
                <w:iCs/>
                <w:sz w:val="24"/>
                <w:szCs w:val="20"/>
                <w:lang w:val="en-GB"/>
              </w:rPr>
            </m:ctrlPr>
          </m:sSubPr>
          <m:e>
            <m:r>
              <w:rPr>
                <w:rFonts w:ascii="Cambria Math" w:eastAsia="Times New Roman" w:hAnsi="Cambria Math" w:cs="Times New Roman"/>
                <w:sz w:val="24"/>
                <w:szCs w:val="20"/>
                <w:lang w:val="en-GB"/>
              </w:rPr>
              <m:t>A</m:t>
            </m:r>
          </m:e>
          <m:sub>
            <m:r>
              <w:rPr>
                <w:rFonts w:ascii="Cambria Math" w:eastAsia="Times New Roman" w:hAnsi="Cambria Math" w:cs="Times New Roman"/>
                <w:sz w:val="24"/>
                <w:szCs w:val="20"/>
                <w:lang w:val="en-GB"/>
              </w:rPr>
              <m:t>k</m:t>
            </m:r>
          </m:sub>
        </m:sSub>
      </m:oMath>
      <w:r>
        <w:rPr>
          <w:rFonts w:ascii="Times New Roman" w:eastAsia="Times New Roman" w:hAnsi="Times New Roman" w:cs="Times New Roman"/>
          <w:iCs/>
          <w:sz w:val="24"/>
          <w:szCs w:val="20"/>
          <w:lang w:val="en-GB"/>
        </w:rPr>
        <w:t xml:space="preserve"> is the state Aid amou</w:t>
      </w:r>
      <w:r w:rsidR="00555764">
        <w:rPr>
          <w:rFonts w:ascii="Times New Roman" w:eastAsia="Times New Roman" w:hAnsi="Times New Roman" w:cs="Times New Roman"/>
          <w:iCs/>
          <w:sz w:val="24"/>
          <w:szCs w:val="20"/>
          <w:lang w:val="en-GB"/>
        </w:rPr>
        <w:t>nt issued in year k.</w:t>
      </w:r>
      <w:r w:rsidR="00555764">
        <w:rPr>
          <w:rStyle w:val="Voetnootmarkering"/>
          <w:rFonts w:ascii="Times New Roman" w:eastAsia="Times New Roman" w:hAnsi="Times New Roman" w:cs="Times New Roman"/>
          <w:iCs/>
          <w:sz w:val="24"/>
          <w:szCs w:val="20"/>
          <w:lang w:val="en-GB"/>
        </w:rPr>
        <w:footnoteReference w:id="7"/>
      </w:r>
    </w:p>
    <w:p w14:paraId="714BEFF0" w14:textId="77777777" w:rsidR="007E47BE" w:rsidRPr="00BB664C" w:rsidRDefault="007E47BE" w:rsidP="00AC010E">
      <w:pPr>
        <w:spacing w:after="120" w:line="240" w:lineRule="auto"/>
        <w:jc w:val="both"/>
        <w:rPr>
          <w:rFonts w:ascii="Times New Roman" w:eastAsia="Times New Roman" w:hAnsi="Times New Roman" w:cs="Times New Roman"/>
          <w:iCs/>
          <w:sz w:val="24"/>
          <w:szCs w:val="20"/>
          <w:lang w:val="en-GB"/>
        </w:rPr>
      </w:pPr>
    </w:p>
    <w:p w14:paraId="76AD15F8" w14:textId="77777777" w:rsidR="00AC010E" w:rsidRPr="00BB664C" w:rsidRDefault="00AC010E" w:rsidP="00AC010E">
      <w:pPr>
        <w:spacing w:after="240" w:line="240" w:lineRule="auto"/>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sz w:val="24"/>
          <w:szCs w:val="20"/>
          <w:lang w:val="en-GB"/>
        </w:rPr>
        <w:t xml:space="preserve">This claw-back mechanism only applies in case of positive net present values of cash flows after taking into account the actual State aid disbursements. No surplus can be generated by projects with negative net present value after State aid. </w:t>
      </w:r>
    </w:p>
    <w:p w14:paraId="6930C6F3" w14:textId="4C1F9AED" w:rsidR="00AC010E" w:rsidRPr="00BB664C" w:rsidRDefault="00AC010E" w:rsidP="00AC010E">
      <w:pPr>
        <w:spacing w:after="240" w:line="240" w:lineRule="auto"/>
        <w:jc w:val="both"/>
        <w:rPr>
          <w:rFonts w:ascii="Times New Roman" w:eastAsia="Times New Roman" w:hAnsi="Times New Roman" w:cs="Times New Roman"/>
          <w:iCs/>
          <w:sz w:val="24"/>
          <w:szCs w:val="20"/>
          <w:lang w:val="en-GB"/>
        </w:rPr>
      </w:pPr>
      <w:r w:rsidRPr="00BB664C">
        <w:rPr>
          <w:rFonts w:ascii="Times New Roman" w:eastAsia="Times New Roman" w:hAnsi="Times New Roman" w:cs="Times New Roman"/>
          <w:iCs/>
          <w:sz w:val="24"/>
          <w:szCs w:val="20"/>
          <w:lang w:val="en-GB"/>
        </w:rPr>
        <w:t>A letter of credit (by a reputable financial institution having investment grade rating from a first-rank rating agency) should cover the repayment obligation at the End date by the aid beneficiary, from the first test-run.</w:t>
      </w:r>
    </w:p>
    <w:p w14:paraId="0F4D3BDC" w14:textId="77777777" w:rsidR="00AC010E" w:rsidRPr="00BB664C" w:rsidRDefault="00AC010E" w:rsidP="00AC010E">
      <w:pPr>
        <w:spacing w:after="240" w:line="240" w:lineRule="auto"/>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iCs/>
          <w:sz w:val="24"/>
          <w:szCs w:val="20"/>
          <w:lang w:val="en-GB"/>
        </w:rPr>
        <w:t xml:space="preserve">The secured amount guaranteed by the above-mentioned letter of credit should be at least equal to an amount ensuring that the two following principles are fulfilled:  </w:t>
      </w:r>
    </w:p>
    <w:p w14:paraId="20FE29C3" w14:textId="77777777" w:rsidR="00AC010E" w:rsidRPr="00BB664C" w:rsidRDefault="00AC010E" w:rsidP="00AC010E">
      <w:pPr>
        <w:spacing w:after="240" w:line="240" w:lineRule="auto"/>
        <w:ind w:left="720" w:hanging="720"/>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iCs/>
          <w:sz w:val="24"/>
          <w:szCs w:val="20"/>
          <w:lang w:val="en-GB"/>
        </w:rPr>
        <w:t>1)</w:t>
      </w:r>
      <w:r w:rsidRPr="00BB664C">
        <w:rPr>
          <w:rFonts w:ascii="Times New Roman" w:eastAsia="Times New Roman" w:hAnsi="Times New Roman" w:cs="Times New Roman"/>
          <w:iCs/>
          <w:sz w:val="24"/>
          <w:szCs w:val="20"/>
          <w:lang w:val="en-GB"/>
        </w:rPr>
        <w:tab/>
        <w:t>The secured amount must never be negative (initial balance equal to zero);</w:t>
      </w:r>
    </w:p>
    <w:p w14:paraId="5194D237" w14:textId="657C1FE1" w:rsidR="00AC010E" w:rsidRPr="00BB664C" w:rsidRDefault="00AC010E" w:rsidP="00AC010E">
      <w:pPr>
        <w:spacing w:after="240" w:line="240" w:lineRule="auto"/>
        <w:ind w:left="720" w:hanging="720"/>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iCs/>
          <w:sz w:val="24"/>
          <w:szCs w:val="20"/>
          <w:lang w:val="en-GB"/>
        </w:rPr>
        <w:t xml:space="preserve">2) </w:t>
      </w:r>
      <w:r w:rsidRPr="00BB664C">
        <w:rPr>
          <w:rFonts w:ascii="Times New Roman" w:eastAsia="Times New Roman" w:hAnsi="Times New Roman" w:cs="Times New Roman"/>
          <w:iCs/>
          <w:sz w:val="24"/>
          <w:szCs w:val="20"/>
          <w:lang w:val="en-GB"/>
        </w:rPr>
        <w:tab/>
        <w:t xml:space="preserve">The secured amount must, after each </w:t>
      </w:r>
      <w:r w:rsidR="0057069E" w:rsidRPr="00BB664C">
        <w:rPr>
          <w:rFonts w:ascii="Times New Roman" w:eastAsia="Times New Roman" w:hAnsi="Times New Roman" w:cs="Times New Roman"/>
          <w:iCs/>
          <w:sz w:val="24"/>
          <w:szCs w:val="20"/>
          <w:lang w:val="en-GB"/>
        </w:rPr>
        <w:t>5</w:t>
      </w:r>
      <w:r w:rsidR="0057069E" w:rsidRPr="00BB664C">
        <w:rPr>
          <w:rFonts w:ascii="Times New Roman" w:eastAsia="Times New Roman" w:hAnsi="Times New Roman" w:cs="Times New Roman"/>
          <w:iCs/>
          <w:sz w:val="24"/>
          <w:szCs w:val="20"/>
          <w:vertAlign w:val="superscript"/>
          <w:lang w:val="en-GB"/>
        </w:rPr>
        <w:t>th</w:t>
      </w:r>
      <w:r w:rsidR="0057069E" w:rsidRPr="00BB664C">
        <w:rPr>
          <w:rFonts w:ascii="Times New Roman" w:eastAsia="Times New Roman" w:hAnsi="Times New Roman" w:cs="Times New Roman"/>
          <w:iCs/>
          <w:sz w:val="24"/>
          <w:szCs w:val="20"/>
          <w:lang w:val="en-GB"/>
        </w:rPr>
        <w:t xml:space="preserve"> </w:t>
      </w:r>
      <w:r w:rsidRPr="00BB664C">
        <w:rPr>
          <w:rFonts w:ascii="Times New Roman" w:eastAsia="Times New Roman" w:hAnsi="Times New Roman" w:cs="Times New Roman"/>
          <w:iCs/>
          <w:sz w:val="24"/>
          <w:szCs w:val="20"/>
          <w:lang w:val="en-GB"/>
        </w:rPr>
        <w:t>test-run</w:t>
      </w:r>
      <w:r w:rsidR="0057069E" w:rsidRPr="00BB664C">
        <w:rPr>
          <w:rStyle w:val="Voetnootmarkering"/>
          <w:rFonts w:ascii="Times New Roman" w:eastAsia="Times New Roman" w:hAnsi="Times New Roman" w:cs="Times New Roman"/>
          <w:iCs/>
          <w:sz w:val="24"/>
          <w:szCs w:val="20"/>
          <w:lang w:val="en-GB"/>
        </w:rPr>
        <w:footnoteReference w:id="8"/>
      </w:r>
      <w:r w:rsidRPr="00BB664C">
        <w:rPr>
          <w:rFonts w:ascii="Times New Roman" w:eastAsia="Times New Roman" w:hAnsi="Times New Roman" w:cs="Times New Roman"/>
          <w:iCs/>
          <w:sz w:val="24"/>
          <w:szCs w:val="20"/>
          <w:lang w:val="en-GB"/>
        </w:rPr>
        <w:t>, correspond to the lower of the following, if positive</w:t>
      </w:r>
      <w:r w:rsidR="0005668A" w:rsidRPr="00BB664C">
        <w:rPr>
          <w:rFonts w:ascii="Times New Roman" w:eastAsia="Times New Roman" w:hAnsi="Times New Roman" w:cs="Times New Roman"/>
          <w:iCs/>
          <w:sz w:val="24"/>
          <w:szCs w:val="20"/>
          <w:lang w:val="en-GB"/>
        </w:rPr>
        <w:t>:</w:t>
      </w:r>
      <w:r w:rsidR="0005668A" w:rsidRPr="00BB664C">
        <w:rPr>
          <w:rStyle w:val="Voetnootmarkering"/>
          <w:rFonts w:ascii="Times New Roman" w:eastAsia="Times New Roman" w:hAnsi="Times New Roman" w:cs="Times New Roman"/>
          <w:iCs/>
          <w:sz w:val="24"/>
          <w:szCs w:val="20"/>
          <w:lang w:val="en-GB"/>
        </w:rPr>
        <w:footnoteReference w:id="9"/>
      </w:r>
    </w:p>
    <w:p w14:paraId="5551608B" w14:textId="629D6720" w:rsidR="00AC010E" w:rsidRPr="00BB664C" w:rsidRDefault="00AC010E" w:rsidP="00AC010E">
      <w:pPr>
        <w:spacing w:after="240" w:line="240" w:lineRule="auto"/>
        <w:ind w:left="993" w:hanging="284"/>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sz w:val="24"/>
          <w:szCs w:val="20"/>
          <w:lang w:val="en-GB"/>
        </w:rPr>
        <w:t>-</w:t>
      </w:r>
      <w:r w:rsidRPr="00BB664C">
        <w:rPr>
          <w:rFonts w:ascii="Times New Roman" w:eastAsia="Times New Roman" w:hAnsi="Times New Roman" w:cs="Times New Roman"/>
          <w:sz w:val="14"/>
          <w:szCs w:val="14"/>
          <w:lang w:val="en-GB"/>
        </w:rPr>
        <w:tab/>
      </w:r>
      <w:r w:rsidR="00B86C72" w:rsidRPr="00BB664C">
        <w:rPr>
          <w:rFonts w:ascii="Times New Roman" w:eastAsia="Times New Roman" w:hAnsi="Times New Roman" w:cs="Times New Roman"/>
          <w:iCs/>
          <w:sz w:val="24"/>
          <w:szCs w:val="20"/>
          <w:lang w:val="en-GB"/>
        </w:rPr>
        <w:t xml:space="preserve">the </w:t>
      </w:r>
      <w:proofErr w:type="spellStart"/>
      <w:r w:rsidRPr="00BB664C">
        <w:rPr>
          <w:rFonts w:ascii="Times New Roman" w:eastAsia="Times New Roman" w:hAnsi="Times New Roman" w:cs="Times New Roman"/>
          <w:iCs/>
          <w:sz w:val="24"/>
          <w:szCs w:val="20"/>
          <w:lang w:val="en-GB"/>
        </w:rPr>
        <w:t>Surplus</w:t>
      </w:r>
      <w:r w:rsidRPr="00BB664C">
        <w:rPr>
          <w:rFonts w:ascii="Times New Roman" w:eastAsia="Times New Roman" w:hAnsi="Times New Roman" w:cs="Times New Roman"/>
          <w:iCs/>
          <w:sz w:val="24"/>
          <w:szCs w:val="20"/>
          <w:vertAlign w:val="subscript"/>
          <w:lang w:val="en-GB"/>
        </w:rPr>
        <w:t>i</w:t>
      </w:r>
      <w:proofErr w:type="spellEnd"/>
      <w:r w:rsidRPr="00BB664C">
        <w:rPr>
          <w:rFonts w:ascii="Times New Roman" w:eastAsia="Times New Roman" w:hAnsi="Times New Roman" w:cs="Times New Roman"/>
          <w:iCs/>
          <w:sz w:val="24"/>
          <w:szCs w:val="20"/>
          <w:lang w:val="en-GB"/>
        </w:rPr>
        <w:t xml:space="preserve"> multiplied by </w:t>
      </w:r>
      <m:oMath>
        <m:r>
          <w:rPr>
            <w:rFonts w:ascii="Cambria Math" w:eastAsia="Times New Roman" w:hAnsi="Cambria Math" w:cs="Times New Roman"/>
            <w:sz w:val="24"/>
            <w:szCs w:val="20"/>
            <w:lang w:val="en-GB"/>
          </w:rPr>
          <m:t>Sharestat</m:t>
        </m:r>
        <m:sSub>
          <m:sSubPr>
            <m:ctrlPr>
              <w:rPr>
                <w:rFonts w:ascii="Cambria Math" w:eastAsia="Times New Roman" w:hAnsi="Cambria Math" w:cs="Times New Roman"/>
                <w:i/>
                <w:iCs/>
                <w:sz w:val="24"/>
                <w:szCs w:val="20"/>
                <w:lang w:val="en-GB"/>
              </w:rPr>
            </m:ctrlPr>
          </m:sSubPr>
          <m:e>
            <m:r>
              <w:rPr>
                <w:rFonts w:ascii="Cambria Math" w:eastAsia="Times New Roman" w:hAnsi="Cambria Math" w:cs="Times New Roman"/>
                <w:sz w:val="24"/>
                <w:szCs w:val="20"/>
                <w:lang w:val="en-GB"/>
              </w:rPr>
              <m:t>e</m:t>
            </m:r>
          </m:e>
          <m:sub>
            <m:r>
              <w:rPr>
                <w:rFonts w:ascii="Cambria Math" w:eastAsia="Times New Roman" w:hAnsi="Cambria Math" w:cs="Times New Roman"/>
                <w:sz w:val="24"/>
                <w:szCs w:val="20"/>
                <w:lang w:val="en-GB"/>
              </w:rPr>
              <m:t>i</m:t>
            </m:r>
          </m:sub>
        </m:sSub>
      </m:oMath>
      <w:r w:rsidR="00B86C72" w:rsidRPr="00BB664C">
        <w:rPr>
          <w:rFonts w:ascii="Times New Roman" w:eastAsia="Times New Roman" w:hAnsi="Times New Roman" w:cs="Times New Roman"/>
          <w:iCs/>
          <w:sz w:val="24"/>
          <w:szCs w:val="20"/>
          <w:lang w:val="en-GB"/>
        </w:rPr>
        <w:t xml:space="preserve"> </w:t>
      </w:r>
      <w:r w:rsidR="00CD2080" w:rsidRPr="00BB664C">
        <w:rPr>
          <w:rFonts w:ascii="Times New Roman" w:eastAsia="Times New Roman" w:hAnsi="Times New Roman" w:cs="Times New Roman"/>
          <w:iCs/>
          <w:sz w:val="24"/>
          <w:szCs w:val="20"/>
          <w:lang w:val="en-GB"/>
        </w:rPr>
        <w:t xml:space="preserve">(computed at that test-run) </w:t>
      </w:r>
    </w:p>
    <w:p w14:paraId="2DF1A929" w14:textId="0FD67B28" w:rsidR="00AC010E" w:rsidRPr="00BB664C" w:rsidRDefault="00AC010E" w:rsidP="00AC010E">
      <w:pPr>
        <w:spacing w:after="240" w:line="240" w:lineRule="auto"/>
        <w:ind w:left="993" w:hanging="284"/>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sz w:val="24"/>
          <w:szCs w:val="20"/>
          <w:lang w:val="en-GB"/>
        </w:rPr>
        <w:t>-</w:t>
      </w:r>
      <w:r w:rsidRPr="00BB664C">
        <w:rPr>
          <w:rFonts w:ascii="Times New Roman" w:eastAsia="Times New Roman" w:hAnsi="Times New Roman" w:cs="Times New Roman"/>
          <w:sz w:val="24"/>
          <w:szCs w:val="20"/>
          <w:lang w:val="en-GB"/>
        </w:rPr>
        <w:tab/>
      </w:r>
      <w:r w:rsidRPr="00BB664C">
        <w:rPr>
          <w:rFonts w:ascii="Times New Roman" w:eastAsia="Times New Roman" w:hAnsi="Times New Roman" w:cs="Times New Roman"/>
          <w:iCs/>
          <w:sz w:val="24"/>
          <w:szCs w:val="20"/>
          <w:lang w:val="en-GB"/>
        </w:rPr>
        <w:t xml:space="preserve">The sum of the actual State aid disbursements between </w:t>
      </w:r>
      <w:r w:rsidRPr="00BB664C">
        <w:rPr>
          <w:rFonts w:ascii="Times New Roman" w:eastAsia="Times New Roman" w:hAnsi="Times New Roman" w:cs="Times New Roman"/>
          <w:sz w:val="24"/>
          <w:szCs w:val="20"/>
          <w:lang w:val="en-GB"/>
        </w:rPr>
        <w:t>202</w:t>
      </w:r>
      <w:r w:rsidR="00984654" w:rsidRPr="00BB664C">
        <w:rPr>
          <w:rFonts w:ascii="Times New Roman" w:eastAsia="Times New Roman" w:hAnsi="Times New Roman" w:cs="Times New Roman"/>
          <w:sz w:val="24"/>
          <w:szCs w:val="20"/>
          <w:lang w:val="en-GB"/>
        </w:rPr>
        <w:t>2</w:t>
      </w:r>
      <w:r w:rsidRPr="00BB664C">
        <w:rPr>
          <w:rFonts w:ascii="Times New Roman" w:eastAsia="Times New Roman" w:hAnsi="Times New Roman" w:cs="Times New Roman"/>
          <w:iCs/>
          <w:sz w:val="24"/>
          <w:szCs w:val="20"/>
          <w:lang w:val="en-GB"/>
        </w:rPr>
        <w:t xml:space="preserve"> and that test-run expressed in terms of the year “i” of the test-period. </w:t>
      </w:r>
      <w:r w:rsidR="00F55097" w:rsidRPr="00BB664C">
        <w:rPr>
          <w:rFonts w:ascii="Times New Roman" w:eastAsia="Times New Roman" w:hAnsi="Times New Roman" w:cs="Times New Roman"/>
          <w:iCs/>
          <w:sz w:val="24"/>
          <w:szCs w:val="20"/>
          <w:lang w:val="en-GB"/>
        </w:rPr>
        <w:t xml:space="preserve">For all the disbursements before that test-run, the </w:t>
      </w:r>
      <w:r w:rsidR="00C96EAA" w:rsidRPr="00BB664C">
        <w:rPr>
          <w:rFonts w:ascii="Times New Roman" w:eastAsia="Times New Roman" w:hAnsi="Times New Roman" w:cs="Times New Roman"/>
          <w:iCs/>
          <w:sz w:val="24"/>
          <w:szCs w:val="20"/>
          <w:lang w:val="en-GB"/>
        </w:rPr>
        <w:t xml:space="preserve">interest-adjustment </w:t>
      </w:r>
      <w:r w:rsidR="00F55097" w:rsidRPr="00BB664C">
        <w:rPr>
          <w:rFonts w:ascii="Times New Roman" w:eastAsia="Times New Roman" w:hAnsi="Times New Roman" w:cs="Times New Roman"/>
          <w:iCs/>
          <w:sz w:val="24"/>
          <w:szCs w:val="20"/>
          <w:lang w:val="en-GB"/>
        </w:rPr>
        <w:t xml:space="preserve">factor will be the EU reference rate applicable to the Member State concerned according to the Commission's communication on setting the reference and </w:t>
      </w:r>
      <w:r w:rsidR="00C96EAA" w:rsidRPr="00BB664C">
        <w:rPr>
          <w:rFonts w:ascii="Times New Roman" w:eastAsia="Times New Roman" w:hAnsi="Times New Roman" w:cs="Times New Roman"/>
          <w:iCs/>
          <w:sz w:val="24"/>
          <w:szCs w:val="20"/>
          <w:lang w:val="en-GB"/>
        </w:rPr>
        <w:t xml:space="preserve">interest-adjustment </w:t>
      </w:r>
      <w:r w:rsidR="00F55097" w:rsidRPr="00BB664C">
        <w:rPr>
          <w:rFonts w:ascii="Times New Roman" w:eastAsia="Times New Roman" w:hAnsi="Times New Roman" w:cs="Times New Roman"/>
          <w:iCs/>
          <w:sz w:val="24"/>
          <w:szCs w:val="20"/>
          <w:lang w:val="en-GB"/>
        </w:rPr>
        <w:t>rates applicable at year “</w:t>
      </w:r>
      <w:r w:rsidR="00555764">
        <w:rPr>
          <w:rFonts w:ascii="Times New Roman" w:eastAsia="Times New Roman" w:hAnsi="Times New Roman" w:cs="Times New Roman"/>
          <w:iCs/>
          <w:sz w:val="24"/>
          <w:szCs w:val="20"/>
          <w:lang w:val="en-GB"/>
        </w:rPr>
        <w:t>k</w:t>
      </w:r>
      <w:r w:rsidR="00F55097" w:rsidRPr="00BB664C">
        <w:rPr>
          <w:rFonts w:ascii="Times New Roman" w:eastAsia="Times New Roman" w:hAnsi="Times New Roman" w:cs="Times New Roman"/>
          <w:iCs/>
          <w:sz w:val="24"/>
          <w:szCs w:val="20"/>
          <w:lang w:val="en-GB"/>
        </w:rPr>
        <w:t>”, increased by 100 basis points between the corresponding disbursement and year “</w:t>
      </w:r>
      <w:r w:rsidR="00555764">
        <w:rPr>
          <w:rFonts w:ascii="Times New Roman" w:eastAsia="Times New Roman" w:hAnsi="Times New Roman" w:cs="Times New Roman"/>
          <w:iCs/>
          <w:sz w:val="24"/>
          <w:szCs w:val="20"/>
          <w:lang w:val="en-GB"/>
        </w:rPr>
        <w:t>i</w:t>
      </w:r>
      <w:r w:rsidR="00F55097" w:rsidRPr="00BB664C">
        <w:rPr>
          <w:rFonts w:ascii="Times New Roman" w:eastAsia="Times New Roman" w:hAnsi="Times New Roman" w:cs="Times New Roman"/>
          <w:iCs/>
          <w:sz w:val="24"/>
          <w:szCs w:val="20"/>
          <w:lang w:val="en-GB"/>
        </w:rPr>
        <w:t>”.</w:t>
      </w:r>
      <w:r w:rsidR="00DF5F7D" w:rsidRPr="00BB664C" w:rsidDel="00DF5F7D">
        <w:rPr>
          <w:rFonts w:ascii="Times New Roman" w:eastAsia="Times New Roman" w:hAnsi="Times New Roman" w:cs="Times New Roman"/>
          <w:sz w:val="24"/>
          <w:szCs w:val="20"/>
          <w:vertAlign w:val="superscript"/>
          <w:lang w:val="en-GB"/>
        </w:rPr>
        <w:t xml:space="preserve"> </w:t>
      </w:r>
    </w:p>
    <w:p w14:paraId="2AF35C9E" w14:textId="05681381" w:rsidR="00AC010E" w:rsidRPr="00BB664C" w:rsidRDefault="00AC010E" w:rsidP="00AC010E">
      <w:pPr>
        <w:spacing w:after="240" w:line="240" w:lineRule="auto"/>
        <w:jc w:val="both"/>
        <w:rPr>
          <w:rFonts w:ascii="Times New Roman" w:eastAsia="Times New Roman" w:hAnsi="Times New Roman" w:cs="Times New Roman"/>
          <w:iCs/>
          <w:sz w:val="24"/>
          <w:szCs w:val="20"/>
          <w:lang w:val="en-GB"/>
        </w:rPr>
      </w:pPr>
      <w:r w:rsidRPr="00BB664C">
        <w:rPr>
          <w:rFonts w:ascii="Times New Roman" w:eastAsia="Times New Roman" w:hAnsi="Times New Roman" w:cs="Times New Roman"/>
          <w:iCs/>
          <w:sz w:val="24"/>
          <w:szCs w:val="20"/>
          <w:lang w:val="en-GB"/>
        </w:rPr>
        <w:t xml:space="preserve">An amount equal to the final secured </w:t>
      </w:r>
      <w:r w:rsidR="003B62BE" w:rsidRPr="00BB664C">
        <w:rPr>
          <w:rFonts w:ascii="Times New Roman" w:eastAsia="Times New Roman" w:hAnsi="Times New Roman" w:cs="Times New Roman"/>
          <w:iCs/>
          <w:sz w:val="24"/>
          <w:szCs w:val="20"/>
          <w:lang w:val="en-GB"/>
        </w:rPr>
        <w:t>amount</w:t>
      </w:r>
      <w:r w:rsidRPr="00BB664C">
        <w:rPr>
          <w:rFonts w:ascii="Times New Roman" w:eastAsia="Times New Roman" w:hAnsi="Times New Roman" w:cs="Times New Roman"/>
          <w:iCs/>
          <w:sz w:val="24"/>
          <w:szCs w:val="20"/>
          <w:lang w:val="en-GB"/>
        </w:rPr>
        <w:t>, after the last application at the End date, will be transferred to the Member State.</w:t>
      </w:r>
      <w:r w:rsidR="00CD2080" w:rsidRPr="00BB664C">
        <w:rPr>
          <w:rStyle w:val="Voetnootmarkering"/>
          <w:rFonts w:ascii="Times New Roman" w:eastAsia="Times New Roman" w:hAnsi="Times New Roman" w:cs="Times New Roman"/>
          <w:iCs/>
          <w:sz w:val="24"/>
          <w:szCs w:val="20"/>
          <w:lang w:val="en-GB"/>
        </w:rPr>
        <w:footnoteReference w:id="10"/>
      </w:r>
    </w:p>
    <w:p w14:paraId="5534E141" w14:textId="24D93211" w:rsidR="00AC010E" w:rsidRPr="00BB664C" w:rsidRDefault="00AC010E" w:rsidP="00AC010E">
      <w:pPr>
        <w:spacing w:after="240" w:line="240" w:lineRule="auto"/>
        <w:jc w:val="both"/>
        <w:rPr>
          <w:rFonts w:ascii="Times New Roman" w:eastAsia="Times New Roman" w:hAnsi="Times New Roman" w:cs="Times New Roman"/>
          <w:iCs/>
          <w:sz w:val="24"/>
          <w:szCs w:val="20"/>
          <w:lang w:val="en-GB"/>
        </w:rPr>
      </w:pPr>
      <w:r w:rsidRPr="00BB664C">
        <w:rPr>
          <w:rFonts w:ascii="Times New Roman" w:eastAsia="Times New Roman" w:hAnsi="Times New Roman" w:cs="Times New Roman"/>
          <w:iCs/>
          <w:sz w:val="24"/>
          <w:szCs w:val="20"/>
          <w:lang w:val="en-GB"/>
        </w:rPr>
        <w:lastRenderedPageBreak/>
        <w:t xml:space="preserve">The application of the claw-back mechanism will be reported by the relevant Member State to the Commission within 1 month following completion of each </w:t>
      </w:r>
      <w:r w:rsidR="00BA3FB8" w:rsidRPr="00BB664C">
        <w:rPr>
          <w:rFonts w:ascii="Times New Roman" w:eastAsia="Times New Roman" w:hAnsi="Times New Roman" w:cs="Times New Roman"/>
          <w:iCs/>
          <w:sz w:val="24"/>
          <w:szCs w:val="20"/>
          <w:lang w:val="en-GB"/>
        </w:rPr>
        <w:t>test-run and after the End date</w:t>
      </w:r>
      <w:r w:rsidR="00DF5F7D" w:rsidRPr="00BB664C">
        <w:rPr>
          <w:rFonts w:ascii="Times New Roman" w:eastAsia="Times New Roman" w:hAnsi="Times New Roman" w:cs="Times New Roman"/>
          <w:iCs/>
          <w:sz w:val="24"/>
          <w:szCs w:val="20"/>
          <w:lang w:val="en-GB"/>
        </w:rPr>
        <w:t>.</w:t>
      </w:r>
    </w:p>
    <w:p w14:paraId="68B25BDE" w14:textId="77777777" w:rsidR="00AC010E" w:rsidRPr="00BB664C" w:rsidRDefault="00AC010E" w:rsidP="00AC010E">
      <w:pPr>
        <w:spacing w:after="240" w:line="240" w:lineRule="auto"/>
        <w:jc w:val="both"/>
        <w:rPr>
          <w:rFonts w:ascii="Times New Roman" w:eastAsia="Times New Roman" w:hAnsi="Times New Roman" w:cs="Times New Roman"/>
          <w:i/>
          <w:iCs/>
          <w:sz w:val="24"/>
          <w:szCs w:val="20"/>
          <w:lang w:val="en-GB"/>
        </w:rPr>
      </w:pPr>
      <w:r w:rsidRPr="00BB664C">
        <w:rPr>
          <w:rFonts w:ascii="Times New Roman" w:eastAsia="Times New Roman" w:hAnsi="Times New Roman" w:cs="Times New Roman"/>
          <w:i/>
          <w:iCs/>
          <w:sz w:val="24"/>
          <w:szCs w:val="20"/>
          <w:lang w:val="en-GB"/>
        </w:rPr>
        <w:t>Account with annual transfers</w:t>
      </w:r>
    </w:p>
    <w:p w14:paraId="1D7B4B03" w14:textId="77777777" w:rsidR="00AC010E" w:rsidRPr="00BB664C" w:rsidRDefault="00AC010E" w:rsidP="00AC010E">
      <w:pPr>
        <w:spacing w:after="240" w:line="240" w:lineRule="auto"/>
        <w:jc w:val="both"/>
        <w:rPr>
          <w:rFonts w:ascii="Times New Roman" w:eastAsia="Times New Roman" w:hAnsi="Times New Roman" w:cs="Times New Roman"/>
          <w:iCs/>
          <w:sz w:val="24"/>
          <w:szCs w:val="20"/>
          <w:lang w:val="en-GB"/>
        </w:rPr>
      </w:pPr>
      <w:r w:rsidRPr="00BB664C">
        <w:rPr>
          <w:rFonts w:ascii="Times New Roman" w:eastAsia="Times New Roman" w:hAnsi="Times New Roman" w:cs="Times New Roman"/>
          <w:iCs/>
          <w:sz w:val="24"/>
          <w:szCs w:val="20"/>
          <w:lang w:val="en-GB"/>
        </w:rPr>
        <w:t>Alternatively, the Member State, instead of the letter of credit system described above, may opt for an account-based system. This system will apply exclusively if the two following conditions are both met: a) the account to be used for the purpose of applying the claw-back mechanism is not under the control of the aid beneficiary; and b) computations and transfers to/from the account by the aid beneficiary must take place once every year</w:t>
      </w:r>
      <w:r w:rsidRPr="00BB664C">
        <w:rPr>
          <w:rFonts w:ascii="Times New Roman" w:eastAsia="Times New Roman" w:hAnsi="Times New Roman" w:cs="Times New Roman"/>
          <w:iCs/>
          <w:sz w:val="24"/>
          <w:szCs w:val="20"/>
          <w:vertAlign w:val="superscript"/>
          <w:lang w:val="en-GB"/>
        </w:rPr>
        <w:footnoteReference w:id="11"/>
      </w:r>
      <w:r w:rsidRPr="00BB664C">
        <w:rPr>
          <w:rFonts w:ascii="Times New Roman" w:eastAsia="Times New Roman" w:hAnsi="Times New Roman" w:cs="Times New Roman"/>
          <w:iCs/>
          <w:sz w:val="24"/>
          <w:szCs w:val="20"/>
          <w:lang w:val="en-GB"/>
        </w:rPr>
        <w:t xml:space="preserve"> until the End date. </w:t>
      </w:r>
    </w:p>
    <w:p w14:paraId="1DF97321" w14:textId="77777777" w:rsidR="00AC010E" w:rsidRPr="00BB664C" w:rsidRDefault="00AC010E" w:rsidP="00AC010E">
      <w:pPr>
        <w:spacing w:after="240" w:line="240" w:lineRule="auto"/>
        <w:jc w:val="both"/>
        <w:rPr>
          <w:rFonts w:ascii="Times New Roman" w:eastAsia="Times New Roman" w:hAnsi="Times New Roman" w:cs="Times New Roman"/>
          <w:iCs/>
          <w:sz w:val="24"/>
          <w:szCs w:val="20"/>
          <w:lang w:val="en-GB"/>
        </w:rPr>
      </w:pPr>
      <w:r w:rsidRPr="00BB664C">
        <w:rPr>
          <w:rFonts w:ascii="Times New Roman" w:eastAsia="Times New Roman" w:hAnsi="Times New Roman" w:cs="Times New Roman"/>
          <w:iCs/>
          <w:sz w:val="24"/>
          <w:szCs w:val="20"/>
          <w:lang w:val="en-GB"/>
        </w:rPr>
        <w:t>The balance of that account should never be negative and no transfer by the Member State to the account shall take place at any time.</w:t>
      </w:r>
    </w:p>
    <w:p w14:paraId="05C285F2" w14:textId="77777777" w:rsidR="00AC010E" w:rsidRPr="00BB664C" w:rsidRDefault="00AC010E" w:rsidP="00AC010E">
      <w:pPr>
        <w:spacing w:after="240" w:line="240" w:lineRule="auto"/>
        <w:jc w:val="both"/>
        <w:rPr>
          <w:rFonts w:ascii="Times New Roman" w:eastAsia="Times New Roman" w:hAnsi="Times New Roman" w:cs="Times New Roman"/>
          <w:iCs/>
          <w:sz w:val="24"/>
          <w:szCs w:val="20"/>
          <w:lang w:val="en-GB"/>
        </w:rPr>
      </w:pPr>
      <w:r w:rsidRPr="00BB664C">
        <w:rPr>
          <w:rFonts w:ascii="Times New Roman" w:eastAsia="Times New Roman" w:hAnsi="Times New Roman" w:cs="Times New Roman"/>
          <w:iCs/>
          <w:sz w:val="24"/>
          <w:szCs w:val="20"/>
          <w:lang w:val="en-GB"/>
        </w:rPr>
        <w:t>This account-based system must not be more favourable from the aid beneficiary perspective than the letter of credit system</w:t>
      </w:r>
      <w:r w:rsidRPr="00BB664C">
        <w:rPr>
          <w:rFonts w:ascii="Times New Roman" w:eastAsia="Times New Roman" w:hAnsi="Times New Roman" w:cs="Times New Roman"/>
          <w:iCs/>
          <w:sz w:val="24"/>
          <w:szCs w:val="20"/>
          <w:vertAlign w:val="superscript"/>
          <w:lang w:val="en-GB"/>
        </w:rPr>
        <w:footnoteReference w:id="12"/>
      </w:r>
      <w:r w:rsidRPr="00BB664C">
        <w:rPr>
          <w:rFonts w:ascii="Times New Roman" w:eastAsia="Times New Roman" w:hAnsi="Times New Roman" w:cs="Times New Roman"/>
          <w:iCs/>
          <w:sz w:val="24"/>
          <w:szCs w:val="20"/>
          <w:lang w:val="en-GB"/>
        </w:rPr>
        <w:t xml:space="preserve"> and should ensure comparable results</w:t>
      </w:r>
      <w:r w:rsidRPr="00BB664C">
        <w:rPr>
          <w:rFonts w:ascii="Times New Roman" w:eastAsia="Times New Roman" w:hAnsi="Times New Roman" w:cs="Times New Roman"/>
          <w:iCs/>
          <w:sz w:val="24"/>
          <w:szCs w:val="20"/>
          <w:vertAlign w:val="superscript"/>
          <w:lang w:val="en-GB"/>
        </w:rPr>
        <w:footnoteReference w:id="13"/>
      </w:r>
      <w:r w:rsidRPr="00BB664C">
        <w:rPr>
          <w:rFonts w:ascii="Times New Roman" w:eastAsia="Times New Roman" w:hAnsi="Times New Roman" w:cs="Times New Roman"/>
          <w:iCs/>
          <w:sz w:val="24"/>
          <w:szCs w:val="20"/>
          <w:lang w:val="en-GB"/>
        </w:rPr>
        <w:t xml:space="preserve">. </w:t>
      </w:r>
    </w:p>
    <w:p w14:paraId="129936EF" w14:textId="4C619BF9" w:rsidR="00AC010E" w:rsidRPr="00BB664C" w:rsidRDefault="00AC010E" w:rsidP="00AC010E">
      <w:pPr>
        <w:spacing w:after="240" w:line="240" w:lineRule="auto"/>
        <w:jc w:val="both"/>
        <w:rPr>
          <w:rFonts w:ascii="Times New Roman" w:eastAsia="Times New Roman" w:hAnsi="Times New Roman" w:cs="Times New Roman"/>
          <w:sz w:val="24"/>
          <w:szCs w:val="20"/>
          <w:lang w:val="en-GB"/>
        </w:rPr>
      </w:pPr>
      <w:r w:rsidRPr="00BB664C">
        <w:rPr>
          <w:rFonts w:ascii="Times New Roman" w:eastAsia="Times New Roman" w:hAnsi="Times New Roman" w:cs="Times New Roman"/>
          <w:iCs/>
          <w:sz w:val="24"/>
          <w:szCs w:val="20"/>
          <w:lang w:val="en-GB"/>
        </w:rPr>
        <w:t xml:space="preserve">The annual application of the claw-back mechanism will be reported by the relevant Member State to the Commission within 1 month following completion of each test-run (e.g. for projects starting in </w:t>
      </w:r>
      <w:r w:rsidRPr="00BB664C">
        <w:rPr>
          <w:rFonts w:ascii="Times New Roman" w:eastAsia="Times New Roman" w:hAnsi="Times New Roman" w:cs="Times New Roman"/>
          <w:sz w:val="24"/>
          <w:szCs w:val="20"/>
          <w:lang w:val="en-GB"/>
        </w:rPr>
        <w:t>202</w:t>
      </w:r>
      <w:r w:rsidR="00DF5F7D" w:rsidRPr="00BB664C">
        <w:rPr>
          <w:rFonts w:ascii="Times New Roman" w:eastAsia="Times New Roman" w:hAnsi="Times New Roman" w:cs="Times New Roman"/>
          <w:sz w:val="24"/>
          <w:szCs w:val="20"/>
          <w:lang w:val="en-GB"/>
        </w:rPr>
        <w:t>3</w:t>
      </w:r>
      <w:r w:rsidRPr="00BB664C">
        <w:rPr>
          <w:rFonts w:ascii="Times New Roman" w:eastAsia="Times New Roman" w:hAnsi="Times New Roman" w:cs="Times New Roman"/>
          <w:iCs/>
          <w:sz w:val="24"/>
          <w:szCs w:val="20"/>
          <w:lang w:val="en-GB"/>
        </w:rPr>
        <w:t xml:space="preserve">, first reporting on application of the claw-back mechanism in July </w:t>
      </w:r>
      <w:r w:rsidRPr="00BB664C">
        <w:rPr>
          <w:rFonts w:ascii="Times New Roman" w:eastAsia="Times New Roman" w:hAnsi="Times New Roman" w:cs="Times New Roman"/>
          <w:sz w:val="24"/>
          <w:szCs w:val="20"/>
          <w:lang w:val="en-GB"/>
        </w:rPr>
        <w:t>202</w:t>
      </w:r>
      <w:r w:rsidR="00DF5F7D" w:rsidRPr="00BB664C">
        <w:rPr>
          <w:rFonts w:ascii="Times New Roman" w:eastAsia="Times New Roman" w:hAnsi="Times New Roman" w:cs="Times New Roman"/>
          <w:sz w:val="24"/>
          <w:szCs w:val="20"/>
          <w:lang w:val="en-GB"/>
        </w:rPr>
        <w:t>4</w:t>
      </w:r>
      <w:r w:rsidRPr="00BB664C">
        <w:rPr>
          <w:rFonts w:ascii="Times New Roman" w:eastAsia="Times New Roman" w:hAnsi="Times New Roman" w:cs="Times New Roman"/>
          <w:iCs/>
          <w:sz w:val="24"/>
          <w:szCs w:val="20"/>
          <w:lang w:val="en-GB"/>
        </w:rPr>
        <w:t xml:space="preserve"> and thereafter every July until the final application after the End date).</w:t>
      </w:r>
    </w:p>
    <w:p w14:paraId="42104379" w14:textId="77777777" w:rsidR="00FD39D6" w:rsidRPr="00CA62D5" w:rsidRDefault="00FD39D6" w:rsidP="00827B33">
      <w:pPr>
        <w:rPr>
          <w:lang w:val="en-US"/>
        </w:rPr>
      </w:pPr>
    </w:p>
    <w:sectPr w:rsidR="00FD39D6" w:rsidRPr="00CA62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B6C5" w14:textId="77777777" w:rsidR="0067480B" w:rsidRDefault="0067480B" w:rsidP="00AC010E">
      <w:pPr>
        <w:spacing w:after="0" w:line="240" w:lineRule="auto"/>
      </w:pPr>
      <w:r>
        <w:separator/>
      </w:r>
    </w:p>
  </w:endnote>
  <w:endnote w:type="continuationSeparator" w:id="0">
    <w:p w14:paraId="6E15D2A5" w14:textId="77777777" w:rsidR="0067480B" w:rsidRDefault="0067480B" w:rsidP="00AC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7395" w14:textId="77777777" w:rsidR="007E47BE" w:rsidRDefault="007E47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16DD" w14:textId="77777777" w:rsidR="007E47BE" w:rsidRDefault="007E47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2F01" w14:textId="77777777" w:rsidR="007E47BE" w:rsidRDefault="007E47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2652" w14:textId="77777777" w:rsidR="0067480B" w:rsidRDefault="0067480B" w:rsidP="00AC010E">
      <w:pPr>
        <w:spacing w:after="0" w:line="240" w:lineRule="auto"/>
      </w:pPr>
      <w:r>
        <w:separator/>
      </w:r>
    </w:p>
  </w:footnote>
  <w:footnote w:type="continuationSeparator" w:id="0">
    <w:p w14:paraId="6612FF90" w14:textId="77777777" w:rsidR="0067480B" w:rsidRDefault="0067480B" w:rsidP="00AC010E">
      <w:pPr>
        <w:spacing w:after="0" w:line="240" w:lineRule="auto"/>
      </w:pPr>
      <w:r>
        <w:continuationSeparator/>
      </w:r>
    </w:p>
  </w:footnote>
  <w:footnote w:id="1">
    <w:p w14:paraId="071B2446" w14:textId="77777777" w:rsidR="007E47BE" w:rsidRPr="0068238D" w:rsidRDefault="007E47BE" w:rsidP="007B4E4C">
      <w:pPr>
        <w:pStyle w:val="Voetnoottekst"/>
        <w:ind w:left="284" w:hanging="284"/>
        <w:rPr>
          <w:lang w:val="en-US"/>
        </w:rPr>
      </w:pPr>
      <w:r w:rsidRPr="00815176">
        <w:rPr>
          <w:vertAlign w:val="superscript"/>
        </w:rPr>
        <w:footnoteRef/>
      </w:r>
      <w:r w:rsidRPr="0068238D">
        <w:rPr>
          <w:vertAlign w:val="superscript"/>
          <w:lang w:val="en-US"/>
        </w:rPr>
        <w:t xml:space="preserve"> </w:t>
      </w:r>
      <w:r w:rsidRPr="0068238D">
        <w:rPr>
          <w:lang w:val="en-US"/>
        </w:rPr>
        <w:tab/>
        <w:t>OJ C 14, 19.01.2008, p.6.</w:t>
      </w:r>
    </w:p>
  </w:footnote>
  <w:footnote w:id="2">
    <w:p w14:paraId="3DBE3329" w14:textId="700C2929" w:rsidR="007E47BE" w:rsidRPr="00984654" w:rsidRDefault="007E47BE" w:rsidP="00727F8D">
      <w:pPr>
        <w:pStyle w:val="Normaalweb"/>
        <w:shd w:val="clear" w:color="auto" w:fill="FFFFFF"/>
        <w:spacing w:after="0" w:line="240" w:lineRule="auto"/>
        <w:ind w:left="284" w:hanging="142"/>
        <w:jc w:val="both"/>
        <w:rPr>
          <w:szCs w:val="20"/>
          <w:lang w:val="en-GB"/>
        </w:rPr>
      </w:pPr>
      <w:r w:rsidRPr="00984654">
        <w:rPr>
          <w:sz w:val="20"/>
          <w:szCs w:val="20"/>
          <w:vertAlign w:val="superscript"/>
        </w:rPr>
        <w:footnoteRef/>
      </w:r>
      <w:r w:rsidRPr="00984654">
        <w:rPr>
          <w:sz w:val="20"/>
          <w:szCs w:val="20"/>
          <w:lang w:val="en-GB"/>
        </w:rPr>
        <w:t xml:space="preserve"> </w:t>
      </w:r>
      <w:r w:rsidRPr="00984654">
        <w:rPr>
          <w:sz w:val="20"/>
          <w:szCs w:val="20"/>
          <w:lang w:val="en-GB"/>
        </w:rPr>
        <w:tab/>
        <w:t>This threshold of EUR 50 million of aid amount is to be understood in nominal terms. If the aid eventually disbursed to the aid beneficiary is lower than the notified aid amount and lower than EUR 50 million, the Project will be relieved from this claw-back mechanism. In such case, the Member State disbursing the aid commits to inform the Commission of the occurrence of a lower than notified aid amount and of the inapplicability of the claw-back mechanism within 2 months after final disbursement of the aid.</w:t>
      </w:r>
    </w:p>
  </w:footnote>
  <w:footnote w:id="3">
    <w:p w14:paraId="122814D8" w14:textId="62B4EFEB" w:rsidR="007E47BE" w:rsidRPr="00984654" w:rsidRDefault="007E47BE" w:rsidP="00CF2044">
      <w:pPr>
        <w:pStyle w:val="Voetnoottekst"/>
        <w:ind w:left="284" w:hanging="142"/>
        <w:rPr>
          <w:rFonts w:ascii="Times New Roman" w:hAnsi="Times New Roman" w:cs="Times New Roman"/>
          <w:lang w:val="en-GB"/>
        </w:rPr>
      </w:pPr>
      <w:r w:rsidRPr="00984654">
        <w:rPr>
          <w:rFonts w:ascii="Times New Roman" w:hAnsi="Times New Roman" w:cs="Times New Roman"/>
          <w:vertAlign w:val="superscript"/>
        </w:rPr>
        <w:footnoteRef/>
      </w:r>
      <w:r w:rsidRPr="00984654">
        <w:rPr>
          <w:rFonts w:ascii="Times New Roman" w:hAnsi="Times New Roman" w:cs="Times New Roman"/>
          <w:vertAlign w:val="superscript"/>
          <w:lang w:val="en-GB"/>
        </w:rPr>
        <w:t xml:space="preserve"> </w:t>
      </w:r>
      <w:r w:rsidRPr="00984654">
        <w:rPr>
          <w:rFonts w:ascii="Times New Roman" w:hAnsi="Times New Roman" w:cs="Times New Roman"/>
          <w:lang w:val="en-GB"/>
        </w:rPr>
        <w:tab/>
        <w:t xml:space="preserve">The End date (only for </w:t>
      </w:r>
      <w:r w:rsidRPr="00FB4357">
        <w:rPr>
          <w:rFonts w:ascii="Times New Roman" w:hAnsi="Times New Roman" w:cs="Times New Roman"/>
          <w:lang w:val="en-GB"/>
        </w:rPr>
        <w:t xml:space="preserve">the purposes of this claw-back mechanism) is set at the year corresponding to the </w:t>
      </w:r>
      <w:r w:rsidRPr="008E471F">
        <w:rPr>
          <w:rFonts w:ascii="Times New Roman" w:hAnsi="Times New Roman" w:cs="Times New Roman"/>
          <w:lang w:val="en-GB"/>
        </w:rPr>
        <w:t>last year that has been considered for the respective funding gap analysis, regardless of the type of IPCEI project (RDI, FID, or infrastructure)</w:t>
      </w:r>
      <w:r w:rsidRPr="00FB4357">
        <w:rPr>
          <w:rFonts w:ascii="Times New Roman" w:hAnsi="Times New Roman" w:cs="Times New Roman"/>
          <w:lang w:val="en-GB"/>
        </w:rPr>
        <w:t>.</w:t>
      </w:r>
      <w:r>
        <w:rPr>
          <w:rFonts w:ascii="Times New Roman" w:hAnsi="Times New Roman" w:cs="Times New Roman"/>
          <w:lang w:val="en-GB"/>
        </w:rPr>
        <w:t xml:space="preserve"> </w:t>
      </w:r>
      <w:r w:rsidRPr="00F81007">
        <w:rPr>
          <w:rFonts w:ascii="Times New Roman" w:hAnsi="Times New Roman" w:cs="Times New Roman"/>
          <w:lang w:val="en-GB"/>
        </w:rPr>
        <w:t xml:space="preserve">In the event of delays in commissioning or completion of the FID phase, </w:t>
      </w:r>
      <w:r>
        <w:rPr>
          <w:rFonts w:ascii="Times New Roman" w:hAnsi="Times New Roman" w:cs="Times New Roman"/>
          <w:lang w:val="en-GB"/>
        </w:rPr>
        <w:t xml:space="preserve">the end date will be </w:t>
      </w:r>
      <w:r w:rsidRPr="00F81007">
        <w:rPr>
          <w:rFonts w:ascii="Times New Roman" w:hAnsi="Times New Roman" w:cs="Times New Roman"/>
          <w:lang w:val="en-GB"/>
        </w:rPr>
        <w:t>extended accordingly.</w:t>
      </w:r>
      <w:r w:rsidRPr="00984654">
        <w:rPr>
          <w:rFonts w:ascii="Times New Roman" w:hAnsi="Times New Roman" w:cs="Times New Roman"/>
          <w:lang w:val="en-GB"/>
        </w:rPr>
        <w:t xml:space="preserve"> </w:t>
      </w:r>
    </w:p>
  </w:footnote>
  <w:footnote w:id="4">
    <w:p w14:paraId="4AFEC974" w14:textId="7C345287" w:rsidR="007E47BE" w:rsidRDefault="007E47BE" w:rsidP="008E471F">
      <w:pPr>
        <w:pStyle w:val="Voetnoottekst"/>
        <w:ind w:left="284" w:hanging="284"/>
        <w:rPr>
          <w:lang w:val="en-US"/>
        </w:rPr>
      </w:pPr>
      <w:r>
        <w:rPr>
          <w:rStyle w:val="Voetnootmarkering"/>
        </w:rPr>
        <w:footnoteRef/>
      </w:r>
      <w:r w:rsidRPr="008E471F">
        <w:rPr>
          <w:lang w:val="en-US"/>
        </w:rPr>
        <w:t xml:space="preserve"> </w:t>
      </w:r>
      <w:r>
        <w:rPr>
          <w:lang w:val="en-US"/>
        </w:rPr>
        <w:tab/>
      </w:r>
      <w:r w:rsidRPr="008E471F">
        <w:rPr>
          <w:rFonts w:ascii="Times New Roman" w:hAnsi="Times New Roman" w:cs="Times New Roman"/>
          <w:lang w:val="en-GB"/>
        </w:rPr>
        <w:t>As a formula, the surplus would be represented as follows:</w:t>
      </w:r>
      <w:r>
        <w:rPr>
          <w:lang w:val="en-US"/>
        </w:rPr>
        <w:t xml:space="preserve"> </w:t>
      </w:r>
    </w:p>
    <w:p w14:paraId="462C7461" w14:textId="10CC0ABD" w:rsidR="007E47BE" w:rsidRPr="008E471F" w:rsidRDefault="00A334DA" w:rsidP="004340FB">
      <w:pPr>
        <w:spacing w:after="0"/>
        <w:rPr>
          <w:lang w:val="en-US"/>
        </w:rPr>
      </w:pPr>
      <m:oMath>
        <m:sSub>
          <m:sSubPr>
            <m:ctrlPr>
              <w:rPr>
                <w:rFonts w:ascii="Cambria Math" w:hAnsi="Cambria Math" w:cs="Arial"/>
                <w:i/>
                <w:sz w:val="20"/>
                <w:szCs w:val="20"/>
              </w:rPr>
            </m:ctrlPr>
          </m:sSubPr>
          <m:e>
            <m:r>
              <w:rPr>
                <w:rFonts w:ascii="Cambria Math" w:hAnsi="Cambria Math" w:cs="Arial"/>
                <w:sz w:val="20"/>
                <w:szCs w:val="20"/>
              </w:rPr>
              <m:t>SurPlus</m:t>
            </m:r>
          </m:e>
          <m:sub>
            <m:r>
              <w:rPr>
                <w:rFonts w:ascii="Cambria Math" w:hAnsi="Cambria Math" w:cs="Arial"/>
                <w:sz w:val="20"/>
                <w:szCs w:val="20"/>
              </w:rPr>
              <m:t>i</m:t>
            </m:r>
          </m:sub>
        </m:sSub>
        <m:r>
          <w:rPr>
            <w:rFonts w:ascii="Cambria Math" w:hAnsi="Cambria Math" w:cs="Arial"/>
            <w:sz w:val="20"/>
            <w:szCs w:val="20"/>
            <w:lang w:val="en-US"/>
          </w:rPr>
          <m:t>=</m:t>
        </m:r>
        <m:nary>
          <m:naryPr>
            <m:chr m:val="∑"/>
            <m:limLoc m:val="undOvr"/>
            <m:ctrlPr>
              <w:rPr>
                <w:rFonts w:ascii="Cambria Math" w:hAnsi="Cambria Math" w:cs="Arial"/>
                <w:i/>
                <w:sz w:val="20"/>
                <w:szCs w:val="20"/>
              </w:rPr>
            </m:ctrlPr>
          </m:naryPr>
          <m:sub>
            <m:r>
              <w:rPr>
                <w:rFonts w:ascii="Cambria Math" w:hAnsi="Cambria Math" w:cs="Arial"/>
                <w:sz w:val="20"/>
                <w:szCs w:val="20"/>
              </w:rPr>
              <m:t>k</m:t>
            </m:r>
          </m:sub>
          <m:sup>
            <m:r>
              <w:rPr>
                <w:rFonts w:ascii="Cambria Math" w:hAnsi="Cambria Math" w:cs="Arial"/>
                <w:sz w:val="20"/>
                <w:szCs w:val="20"/>
              </w:rPr>
              <m:t>i</m:t>
            </m:r>
          </m:sup>
          <m:e>
            <m:sSub>
              <m:sSubPr>
                <m:ctrlPr>
                  <w:rPr>
                    <w:rFonts w:ascii="Cambria Math" w:hAnsi="Cambria Math" w:cs="Arial"/>
                    <w:i/>
                    <w:sz w:val="20"/>
                    <w:szCs w:val="20"/>
                  </w:rPr>
                </m:ctrlPr>
              </m:sSubPr>
              <m:e>
                <m:r>
                  <w:rPr>
                    <w:rFonts w:ascii="Cambria Math" w:hAnsi="Cambria Math" w:cs="Arial"/>
                    <w:sz w:val="20"/>
                    <w:szCs w:val="20"/>
                  </w:rPr>
                  <m:t>CF</m:t>
                </m:r>
              </m:e>
              <m:sub>
                <m:r>
                  <w:rPr>
                    <w:rFonts w:ascii="Cambria Math" w:hAnsi="Cambria Math" w:cs="Arial"/>
                    <w:sz w:val="20"/>
                    <w:szCs w:val="20"/>
                  </w:rPr>
                  <m:t>k</m:t>
                </m:r>
              </m:sub>
            </m:sSub>
            <m:r>
              <w:rPr>
                <w:rFonts w:ascii="Cambria Math" w:hAnsi="Cambria Math" w:cs="Arial"/>
                <w:sz w:val="20"/>
                <w:szCs w:val="20"/>
                <w:lang w:val="en-US"/>
              </w:rPr>
              <m:t xml:space="preserve">× </m:t>
            </m:r>
            <m:sSup>
              <m:sSupPr>
                <m:ctrlPr>
                  <w:rPr>
                    <w:rFonts w:ascii="Cambria Math" w:hAnsi="Cambria Math" w:cs="Arial"/>
                    <w:i/>
                    <w:sz w:val="20"/>
                    <w:szCs w:val="20"/>
                  </w:rPr>
                </m:ctrlPr>
              </m:sSupPr>
              <m:e>
                <m:r>
                  <w:rPr>
                    <w:rFonts w:ascii="Cambria Math" w:hAnsi="Cambria Math" w:cs="Arial"/>
                    <w:sz w:val="20"/>
                    <w:szCs w:val="20"/>
                    <w:lang w:val="en-US"/>
                  </w:rPr>
                  <m:t>(1+</m:t>
                </m:r>
                <m:r>
                  <w:rPr>
                    <w:rFonts w:ascii="Cambria Math" w:hAnsi="Cambria Math" w:cs="Arial"/>
                    <w:sz w:val="20"/>
                    <w:szCs w:val="20"/>
                  </w:rPr>
                  <m:t>WACC</m:t>
                </m:r>
                <m:r>
                  <w:rPr>
                    <w:rFonts w:ascii="Cambria Math" w:hAnsi="Cambria Math" w:cs="Arial"/>
                    <w:sz w:val="20"/>
                    <w:szCs w:val="20"/>
                    <w:lang w:val="en-US"/>
                  </w:rPr>
                  <m:t>)</m:t>
                </m:r>
              </m:e>
              <m:sup>
                <m:r>
                  <w:rPr>
                    <w:rFonts w:ascii="Cambria Math" w:hAnsi="Cambria Math" w:cs="Arial"/>
                    <w:sz w:val="20"/>
                    <w:szCs w:val="20"/>
                    <w:lang w:val="en-US"/>
                  </w:rPr>
                  <m:t>(</m:t>
                </m:r>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k</m:t>
                </m:r>
                <m:r>
                  <w:rPr>
                    <w:rFonts w:ascii="Cambria Math" w:hAnsi="Cambria Math" w:cs="Arial"/>
                    <w:sz w:val="20"/>
                    <w:szCs w:val="20"/>
                    <w:lang w:val="en-US"/>
                  </w:rPr>
                  <m:t>)</m:t>
                </m:r>
              </m:sup>
            </m:sSup>
          </m:e>
        </m:nary>
      </m:oMath>
      <w:r w:rsidR="007E47BE" w:rsidRPr="00C96EAA">
        <w:rPr>
          <w:rFonts w:eastAsiaTheme="minorEastAsia"/>
          <w:sz w:val="20"/>
          <w:szCs w:val="20"/>
          <w:lang w:val="en-US"/>
        </w:rPr>
        <w:t>, k = [2022, 2023,…, i]</w:t>
      </w:r>
    </w:p>
  </w:footnote>
  <w:footnote w:id="5">
    <w:p w14:paraId="26B45E57" w14:textId="6087563F" w:rsidR="007E47BE" w:rsidRDefault="007E47BE" w:rsidP="00984654">
      <w:pPr>
        <w:pStyle w:val="Voetnoottekst"/>
        <w:spacing w:line="276" w:lineRule="auto"/>
        <w:ind w:left="284" w:hanging="284"/>
        <w:rPr>
          <w:lang w:val="en-GB"/>
        </w:rPr>
      </w:pPr>
      <w:r w:rsidRPr="00984654">
        <w:rPr>
          <w:rFonts w:ascii="Times New Roman" w:hAnsi="Times New Roman" w:cs="Times New Roman"/>
          <w:vertAlign w:val="superscript"/>
        </w:rPr>
        <w:footnoteRef/>
      </w:r>
      <w:r w:rsidRPr="00984654">
        <w:rPr>
          <w:rFonts w:ascii="Times New Roman" w:hAnsi="Times New Roman" w:cs="Times New Roman"/>
          <w:vertAlign w:val="superscript"/>
          <w:lang w:val="en-GB"/>
        </w:rPr>
        <w:t xml:space="preserve"> </w:t>
      </w:r>
      <w:r w:rsidRPr="00984654">
        <w:rPr>
          <w:rFonts w:ascii="Times New Roman" w:hAnsi="Times New Roman" w:cs="Times New Roman"/>
          <w:lang w:val="en-GB"/>
        </w:rPr>
        <w:tab/>
        <w:t xml:space="preserve">This means that for instance, for </w:t>
      </w:r>
      <w:r>
        <w:rPr>
          <w:rFonts w:ascii="Times New Roman" w:hAnsi="Times New Roman" w:cs="Times New Roman"/>
          <w:lang w:val="en-GB"/>
        </w:rPr>
        <w:t>a</w:t>
      </w:r>
      <w:r w:rsidRPr="00984654">
        <w:rPr>
          <w:rFonts w:ascii="Times New Roman" w:hAnsi="Times New Roman" w:cs="Times New Roman"/>
          <w:lang w:val="en-GB"/>
        </w:rPr>
        <w:t xml:space="preserve"> test-run in 2027, a cash flow in 202</w:t>
      </w:r>
      <w:r>
        <w:rPr>
          <w:rFonts w:ascii="Times New Roman" w:hAnsi="Times New Roman" w:cs="Times New Roman"/>
          <w:lang w:val="en-GB"/>
        </w:rPr>
        <w:t>2</w:t>
      </w:r>
      <w:r w:rsidRPr="00984654">
        <w:rPr>
          <w:rFonts w:ascii="Times New Roman" w:hAnsi="Times New Roman" w:cs="Times New Roman"/>
          <w:lang w:val="en-GB"/>
        </w:rPr>
        <w:t xml:space="preserve"> will be multiplied by (1+WACC)^(</w:t>
      </w:r>
      <w:r>
        <w:rPr>
          <w:rFonts w:ascii="Times New Roman" w:hAnsi="Times New Roman" w:cs="Times New Roman"/>
          <w:lang w:val="en-GB"/>
        </w:rPr>
        <w:t>5</w:t>
      </w:r>
      <w:r w:rsidRPr="00984654">
        <w:rPr>
          <w:rFonts w:ascii="Times New Roman" w:hAnsi="Times New Roman" w:cs="Times New Roman"/>
          <w:lang w:val="en-GB"/>
        </w:rPr>
        <w:t>).</w:t>
      </w:r>
    </w:p>
  </w:footnote>
  <w:footnote w:id="6">
    <w:p w14:paraId="21E7AB7B" w14:textId="575B91A8" w:rsidR="007E47BE" w:rsidRPr="00C1199E" w:rsidRDefault="007E47BE" w:rsidP="00C1199E">
      <w:pPr>
        <w:pStyle w:val="Voetnoottekst"/>
        <w:ind w:left="284" w:hanging="284"/>
        <w:rPr>
          <w:lang w:val="en-US"/>
        </w:rPr>
      </w:pPr>
      <w:r>
        <w:rPr>
          <w:rStyle w:val="Voetnootmarkering"/>
        </w:rPr>
        <w:footnoteRef/>
      </w:r>
      <w:r w:rsidRPr="00C1199E">
        <w:rPr>
          <w:lang w:val="en-US"/>
        </w:rPr>
        <w:t xml:space="preserve"> </w:t>
      </w:r>
      <w:r w:rsidRPr="00C1199E">
        <w:rPr>
          <w:rFonts w:ascii="Times New Roman" w:hAnsi="Times New Roman" w:cs="Times New Roman"/>
          <w:lang w:val="en-GB"/>
        </w:rPr>
        <w:tab/>
      </w:r>
      <w:r w:rsidRPr="007E47BE">
        <w:rPr>
          <w:rFonts w:ascii="Times New Roman" w:hAnsi="Times New Roman" w:cs="Times New Roman"/>
          <w:lang w:val="en-GB"/>
        </w:rPr>
        <w:t>•</w:t>
      </w:r>
      <w:r w:rsidRPr="007E47BE">
        <w:rPr>
          <w:rFonts w:ascii="Times New Roman" w:hAnsi="Times New Roman" w:cs="Times New Roman"/>
          <w:lang w:val="en-GB"/>
        </w:rPr>
        <w:tab/>
        <w:t>For inputs and outputs where a market price can be computed, if the ex post figures of the project, which have been subject to annual approval by an independent auditor, are far from the market price (</w:t>
      </w:r>
      <w:proofErr w:type="spellStart"/>
      <w:r w:rsidRPr="007E47BE">
        <w:rPr>
          <w:rFonts w:ascii="Times New Roman" w:hAnsi="Times New Roman" w:cs="Times New Roman"/>
          <w:lang w:val="en-GB"/>
        </w:rPr>
        <w:t>nb.</w:t>
      </w:r>
      <w:proofErr w:type="spellEnd"/>
      <w:r w:rsidRPr="007E47BE">
        <w:rPr>
          <w:rFonts w:ascii="Times New Roman" w:hAnsi="Times New Roman" w:cs="Times New Roman"/>
          <w:lang w:val="en-GB"/>
        </w:rPr>
        <w:t xml:space="preserve"> the gap amount could be specified la</w:t>
      </w:r>
      <w:r>
        <w:rPr>
          <w:rFonts w:ascii="Times New Roman" w:hAnsi="Times New Roman" w:cs="Times New Roman"/>
          <w:lang w:val="en-GB"/>
        </w:rPr>
        <w:t>ter on)</w:t>
      </w:r>
      <w:r w:rsidRPr="007E47BE">
        <w:rPr>
          <w:rFonts w:ascii="Times New Roman" w:hAnsi="Times New Roman" w:cs="Times New Roman"/>
          <w:lang w:val="en-GB"/>
        </w:rPr>
        <w:t>, evidence shall be provided by the aid beneficiary to duly justify the gap between the market price and the figures of the project. In case of insufficient evidence, the relevant market price shall be used to compute the surplus of the project, and thus apply the clawback</w:t>
      </w:r>
      <w:r>
        <w:rPr>
          <w:rFonts w:ascii="Times New Roman" w:hAnsi="Times New Roman" w:cs="Times New Roman"/>
          <w:lang w:val="en-GB"/>
        </w:rPr>
        <w:t>.</w:t>
      </w:r>
      <w:r>
        <w:rPr>
          <w:lang w:val="en-US"/>
        </w:rPr>
        <w:t xml:space="preserve"> </w:t>
      </w:r>
    </w:p>
  </w:footnote>
  <w:footnote w:id="7">
    <w:p w14:paraId="0478CDDA" w14:textId="69EC0CBB" w:rsidR="00555764" w:rsidRPr="003334E0" w:rsidRDefault="00555764">
      <w:pPr>
        <w:pStyle w:val="Voetnoottekst"/>
        <w:rPr>
          <w:lang w:val="en-US"/>
        </w:rPr>
      </w:pPr>
      <w:r>
        <w:rPr>
          <w:rStyle w:val="Voetnootmarkering"/>
        </w:rPr>
        <w:footnoteRef/>
      </w:r>
      <w:r w:rsidRPr="003334E0">
        <w:rPr>
          <w:lang w:val="en-US"/>
        </w:rPr>
        <w:t xml:space="preserve"> </w:t>
      </w:r>
      <w:r>
        <w:rPr>
          <w:lang w:val="en-US"/>
        </w:rPr>
        <w:t xml:space="preserve">As a formula the </w:t>
      </w:r>
      <w:proofErr w:type="spellStart"/>
      <w:r>
        <w:rPr>
          <w:lang w:val="en-US"/>
        </w:rPr>
        <w:t>Sharestate</w:t>
      </w:r>
      <w:proofErr w:type="spellEnd"/>
      <w:r>
        <w:rPr>
          <w:lang w:val="en-US"/>
        </w:rPr>
        <w:t xml:space="preserve"> is defined as: </w:t>
      </w:r>
      <m:oMath>
        <m:r>
          <w:rPr>
            <w:rFonts w:ascii="Cambria Math" w:hAnsi="Cambria Math"/>
            <w:lang w:val="en-US"/>
          </w:rPr>
          <m:t>Sharestat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i/>
                    <w:lang w:val="en-US"/>
                  </w:rPr>
                </m:ctrlPr>
              </m:dPr>
              <m:e>
                <m:r>
                  <w:rPr>
                    <w:rFonts w:ascii="Cambria Math" w:hAnsi="Cambria Math"/>
                    <w:lang w:val="en-US"/>
                  </w:rPr>
                  <m:t>60%,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sub>
                </m:sSub>
              </m:e>
            </m:d>
          </m:e>
        </m:func>
        <m:r>
          <w:rPr>
            <w:rFonts w:ascii="Cambria Math" w:hAnsi="Cambria Math"/>
            <w:lang w:val="en-US"/>
          </w:rPr>
          <m:t>&gt;0</m:t>
        </m:r>
      </m:oMath>
    </w:p>
  </w:footnote>
  <w:footnote w:id="8">
    <w:p w14:paraId="66557724" w14:textId="6217447F" w:rsidR="007E47BE" w:rsidRPr="0057069E" w:rsidRDefault="007E47BE">
      <w:pPr>
        <w:pStyle w:val="Voetnoottekst"/>
        <w:rPr>
          <w:lang w:val="en-GB"/>
        </w:rPr>
      </w:pPr>
      <w:r>
        <w:rPr>
          <w:rStyle w:val="Voetnootmarkering"/>
        </w:rPr>
        <w:footnoteRef/>
      </w:r>
      <w:r w:rsidRPr="0057069E">
        <w:rPr>
          <w:lang w:val="en-GB"/>
        </w:rPr>
        <w:t xml:space="preserve"> T</w:t>
      </w:r>
      <w:r>
        <w:rPr>
          <w:rFonts w:ascii="Times New Roman" w:hAnsi="Times New Roman" w:cs="Times New Roman"/>
          <w:lang w:val="en-GB"/>
        </w:rPr>
        <w:t>his means that the letter of credit</w:t>
      </w:r>
      <w:r w:rsidRPr="0057069E">
        <w:rPr>
          <w:rFonts w:ascii="Times New Roman" w:hAnsi="Times New Roman" w:cs="Times New Roman"/>
          <w:lang w:val="en-GB"/>
        </w:rPr>
        <w:t xml:space="preserve"> must be adjusted every 5 years or after every 5th test run.</w:t>
      </w:r>
    </w:p>
  </w:footnote>
  <w:footnote w:id="9">
    <w:p w14:paraId="562C1088" w14:textId="6E29A3BD" w:rsidR="007E47BE" w:rsidRDefault="007E47BE" w:rsidP="0005668A">
      <w:pPr>
        <w:pStyle w:val="Voetnoottekst"/>
        <w:ind w:left="284" w:hanging="284"/>
        <w:rPr>
          <w:lang w:val="en-US"/>
        </w:rPr>
      </w:pPr>
      <w:r>
        <w:rPr>
          <w:rStyle w:val="Voetnootmarkering"/>
        </w:rPr>
        <w:footnoteRef/>
      </w:r>
      <w:r w:rsidRPr="00DF5F7D">
        <w:rPr>
          <w:lang w:val="en-US"/>
        </w:rPr>
        <w:t xml:space="preserve"> </w:t>
      </w:r>
      <w:r>
        <w:rPr>
          <w:lang w:val="en-US"/>
        </w:rPr>
        <w:tab/>
      </w:r>
      <w:r w:rsidRPr="00167198">
        <w:rPr>
          <w:rFonts w:ascii="Times New Roman" w:hAnsi="Times New Roman" w:cs="Times New Roman"/>
          <w:lang w:val="en-GB"/>
        </w:rPr>
        <w:t>As a formula, the surplus would be represented as follows</w:t>
      </w:r>
      <w:r>
        <w:rPr>
          <w:rFonts w:ascii="Times New Roman" w:hAnsi="Times New Roman" w:cs="Times New Roman"/>
          <w:lang w:val="en-GB"/>
        </w:rPr>
        <w:t xml:space="preserve"> – as long as the amount is positive</w:t>
      </w:r>
      <w:r w:rsidRPr="00167198">
        <w:rPr>
          <w:rFonts w:ascii="Times New Roman" w:hAnsi="Times New Roman" w:cs="Times New Roman"/>
          <w:lang w:val="en-GB"/>
        </w:rPr>
        <w:t>:</w:t>
      </w:r>
      <w:r>
        <w:rPr>
          <w:lang w:val="en-US"/>
        </w:rPr>
        <w:t xml:space="preserve"> </w:t>
      </w:r>
    </w:p>
    <w:p w14:paraId="7383131C" w14:textId="323F6ECC" w:rsidR="007E47BE" w:rsidRPr="00DF5F7D" w:rsidRDefault="00A334DA" w:rsidP="0005668A">
      <w:pPr>
        <w:jc w:val="center"/>
        <w:rPr>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Repayment Obligation</m:t>
              </m:r>
            </m:e>
            <m:sub>
              <m:r>
                <w:rPr>
                  <w:rFonts w:ascii="Cambria Math" w:hAnsi="Cambria Math"/>
                  <w:sz w:val="20"/>
                  <w:szCs w:val="20"/>
                  <w:lang w:val="en-US"/>
                </w:rPr>
                <m:t>i</m:t>
              </m:r>
            </m:sub>
          </m:sSub>
          <m:r>
            <w:rPr>
              <w:rFonts w:ascii="Cambria Math" w:hAnsi="Cambria Math"/>
              <w:sz w:val="20"/>
              <w:szCs w:val="20"/>
              <w:lang w:val="en-US"/>
            </w:rPr>
            <m:t>=</m:t>
          </m:r>
          <m:r>
            <m:rPr>
              <m:sty m:val="p"/>
            </m:rPr>
            <w:rPr>
              <w:rFonts w:ascii="Cambria Math" w:hAnsi="Cambria Math"/>
              <w:sz w:val="20"/>
              <w:szCs w:val="20"/>
              <w:lang w:val="en-US"/>
            </w:rPr>
            <m:t>max</m:t>
          </m:r>
          <m:d>
            <m:dPr>
              <m:begChr m:val="["/>
              <m:endChr m:val="]"/>
              <m:ctrlPr>
                <w:rPr>
                  <w:rFonts w:ascii="Cambria Math" w:hAnsi="Cambria Math"/>
                  <w:i/>
                  <w:sz w:val="20"/>
                  <w:szCs w:val="20"/>
                  <w:lang w:val="en-US"/>
                </w:rPr>
              </m:ctrlPr>
            </m:dPr>
            <m:e>
              <m:r>
                <w:rPr>
                  <w:rFonts w:ascii="Cambria Math" w:hAnsi="Cambria Math"/>
                  <w:sz w:val="20"/>
                  <w:szCs w:val="20"/>
                  <w:lang w:val="en-US"/>
                </w:rPr>
                <m:t>0;</m:t>
              </m:r>
              <m:func>
                <m:funcPr>
                  <m:ctrlPr>
                    <w:rPr>
                      <w:rFonts w:ascii="Cambria Math" w:hAnsi="Cambria Math"/>
                      <w:i/>
                      <w:sz w:val="20"/>
                      <w:szCs w:val="20"/>
                      <w:lang w:val="en-US"/>
                    </w:rPr>
                  </m:ctrlPr>
                </m:funcPr>
                <m:fName>
                  <m:r>
                    <m:rPr>
                      <m:sty m:val="p"/>
                    </m:rPr>
                    <w:rPr>
                      <w:rFonts w:ascii="Cambria Math" w:hAnsi="Cambria Math"/>
                      <w:sz w:val="20"/>
                      <w:szCs w:val="20"/>
                      <w:lang w:val="en-US"/>
                    </w:rPr>
                    <m:t>min</m:t>
                  </m:r>
                </m:fName>
                <m:e>
                  <m:d>
                    <m:dPr>
                      <m:begChr m:val="["/>
                      <m:endChr m:val="]"/>
                      <m:ctrlPr>
                        <w:rPr>
                          <w:rFonts w:ascii="Cambria Math" w:hAnsi="Cambria Math"/>
                          <w:i/>
                          <w:sz w:val="20"/>
                          <w:szCs w:val="20"/>
                          <w:lang w:val="en-US"/>
                        </w:rPr>
                      </m:ctrlPr>
                    </m:dPr>
                    <m:e>
                      <m:sSub>
                        <m:sSubPr>
                          <m:ctrlPr>
                            <w:rPr>
                              <w:rFonts w:ascii="Cambria Math" w:hAnsi="Cambria Math"/>
                              <w:sz w:val="20"/>
                              <w:szCs w:val="20"/>
                              <w:lang w:val="en-US"/>
                            </w:rPr>
                          </m:ctrlPr>
                        </m:sSubPr>
                        <m:e>
                          <m:r>
                            <m:rPr>
                              <m:sty m:val="p"/>
                            </m:rPr>
                            <w:rPr>
                              <w:rFonts w:ascii="Cambria Math" w:hAnsi="Cambria Math"/>
                              <w:sz w:val="20"/>
                              <w:szCs w:val="20"/>
                              <w:lang w:val="en-US"/>
                            </w:rPr>
                            <m:t>Sharestate</m:t>
                          </m:r>
                        </m:e>
                        <m:sub>
                          <m:r>
                            <m:rPr>
                              <m:sty m:val="p"/>
                            </m:rPr>
                            <w:rPr>
                              <w:rFonts w:ascii="Cambria Math" w:hAnsi="Cambria Math"/>
                              <w:sz w:val="20"/>
                              <w:szCs w:val="20"/>
                              <w:lang w:val="en-US"/>
                            </w:rPr>
                            <m:t>i</m:t>
                          </m:r>
                        </m:sub>
                      </m:sSub>
                      <m:r>
                        <m:rPr>
                          <m:sty m:val="p"/>
                        </m:rPr>
                        <w:rPr>
                          <w:rFonts w:ascii="Cambria Math" w:hAnsi="Cambria Math"/>
                          <w:sz w:val="20"/>
                          <w:szCs w:val="20"/>
                          <w:lang w:val="en-US"/>
                        </w:rPr>
                        <m:t xml:space="preserve">× </m:t>
                      </m:r>
                      <m:sSub>
                        <m:sSubPr>
                          <m:ctrlPr>
                            <w:rPr>
                              <w:rFonts w:ascii="Cambria Math" w:hAnsi="Cambria Math"/>
                              <w:i/>
                              <w:sz w:val="20"/>
                              <w:szCs w:val="20"/>
                              <w:lang w:val="en-US"/>
                            </w:rPr>
                          </m:ctrlPr>
                        </m:sSubPr>
                        <m:e>
                          <m:r>
                            <w:rPr>
                              <w:rFonts w:ascii="Cambria Math" w:hAnsi="Cambria Math"/>
                              <w:sz w:val="20"/>
                              <w:szCs w:val="20"/>
                              <w:lang w:val="en-US"/>
                            </w:rPr>
                            <m:t>SurPlus</m:t>
                          </m:r>
                        </m:e>
                        <m:sub>
                          <m:r>
                            <w:rPr>
                              <w:rFonts w:ascii="Cambria Math" w:hAnsi="Cambria Math"/>
                              <w:sz w:val="20"/>
                              <w:szCs w:val="20"/>
                              <w:lang w:val="en-US"/>
                            </w:rPr>
                            <m:t>i</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rSA</m:t>
                          </m:r>
                        </m:e>
                        <m:sub>
                          <m:r>
                            <w:rPr>
                              <w:rFonts w:ascii="Cambria Math" w:hAnsi="Cambria Math"/>
                              <w:sz w:val="20"/>
                              <w:szCs w:val="20"/>
                              <w:lang w:val="en-US"/>
                            </w:rPr>
                            <m:t>i</m:t>
                          </m:r>
                        </m:sub>
                      </m:sSub>
                    </m:e>
                  </m:d>
                </m:e>
              </m:func>
            </m:e>
          </m:d>
        </m:oMath>
      </m:oMathPara>
    </w:p>
  </w:footnote>
  <w:footnote w:id="10">
    <w:p w14:paraId="04C0E18E" w14:textId="27A17BB8" w:rsidR="007E47BE" w:rsidRPr="00C96EAA" w:rsidRDefault="007E47BE" w:rsidP="004340FB">
      <w:pPr>
        <w:pStyle w:val="Voetnoottekst"/>
        <w:ind w:left="284" w:hanging="284"/>
        <w:rPr>
          <w:lang w:val="en-US"/>
        </w:rPr>
      </w:pPr>
      <w:r>
        <w:rPr>
          <w:rStyle w:val="Voetnootmarkering"/>
        </w:rPr>
        <w:footnoteRef/>
      </w:r>
      <w:r w:rsidRPr="00C96EAA">
        <w:rPr>
          <w:lang w:val="en-US"/>
        </w:rPr>
        <w:t xml:space="preserve"> </w:t>
      </w:r>
      <w:r w:rsidRPr="004340FB">
        <w:rPr>
          <w:rFonts w:ascii="Times New Roman" w:hAnsi="Times New Roman" w:cs="Times New Roman"/>
          <w:lang w:val="en-GB"/>
        </w:rPr>
        <w:t>interest bearing state aid:</w:t>
      </w:r>
      <w:r w:rsidRPr="00C96EAA">
        <w:rPr>
          <w:rFonts w:eastAsiaTheme="minorEastAsia"/>
          <w:lang w:val="en-US"/>
        </w:rPr>
        <w:t xml:space="preserve"> </w:t>
      </w:r>
      <m:oMath>
        <m:sSub>
          <m:sSubPr>
            <m:ctrlPr>
              <w:rPr>
                <w:rFonts w:ascii="Cambria Math" w:eastAsia="Calibri" w:hAnsi="Cambria Math" w:cs="Arial"/>
                <w:i/>
              </w:rPr>
            </m:ctrlPr>
          </m:sSubPr>
          <m:e>
            <m:r>
              <w:rPr>
                <w:rFonts w:ascii="Cambria Math" w:eastAsia="Calibri" w:hAnsi="Cambria Math" w:cs="Arial"/>
              </w:rPr>
              <m:t>rSA</m:t>
            </m:r>
          </m:e>
          <m:sub>
            <m:r>
              <w:rPr>
                <w:rFonts w:ascii="Cambria Math" w:eastAsia="Calibri" w:hAnsi="Cambria Math" w:cs="Arial"/>
              </w:rPr>
              <m:t>i</m:t>
            </m:r>
          </m:sub>
        </m:sSub>
        <m:r>
          <w:rPr>
            <w:rFonts w:ascii="Cambria Math" w:eastAsia="Calibri" w:hAnsi="Cambria Math" w:cs="Arial"/>
            <w:lang w:val="en-US"/>
          </w:rPr>
          <m:t>=</m:t>
        </m:r>
        <m:nary>
          <m:naryPr>
            <m:chr m:val="∑"/>
            <m:limLoc m:val="undOvr"/>
            <m:ctrlPr>
              <w:rPr>
                <w:rFonts w:ascii="Cambria Math" w:eastAsia="Calibri" w:hAnsi="Cambria Math" w:cs="Arial"/>
                <w:i/>
              </w:rPr>
            </m:ctrlPr>
          </m:naryPr>
          <m:sub>
            <m:r>
              <w:rPr>
                <w:rFonts w:ascii="Cambria Math" w:eastAsia="Calibri" w:hAnsi="Cambria Math" w:cs="Arial"/>
              </w:rPr>
              <m:t>k</m:t>
            </m:r>
          </m:sub>
          <m:sup>
            <m:r>
              <w:rPr>
                <w:rFonts w:ascii="Cambria Math" w:eastAsia="Calibri" w:hAnsi="Cambria Math" w:cs="Arial"/>
              </w:rPr>
              <m:t>i</m:t>
            </m:r>
          </m:sup>
          <m:e>
            <m:sSub>
              <m:sSubPr>
                <m:ctrlPr>
                  <w:rPr>
                    <w:rFonts w:ascii="Cambria Math" w:eastAsia="Calibri" w:hAnsi="Cambria Math" w:cs="Arial"/>
                    <w:i/>
                  </w:rPr>
                </m:ctrlPr>
              </m:sSubPr>
              <m:e>
                <m:r>
                  <w:rPr>
                    <w:rFonts w:ascii="Cambria Math" w:eastAsia="Calibri" w:hAnsi="Cambria Math" w:cs="Arial"/>
                  </w:rPr>
                  <m:t>SA</m:t>
                </m:r>
              </m:e>
              <m:sub>
                <m:r>
                  <w:rPr>
                    <w:rFonts w:ascii="Cambria Math" w:eastAsia="Calibri" w:hAnsi="Cambria Math" w:cs="Arial"/>
                  </w:rPr>
                  <m:t>k</m:t>
                </m:r>
              </m:sub>
            </m:sSub>
            <m:r>
              <w:rPr>
                <w:rFonts w:ascii="Cambria Math" w:eastAsia="Calibri" w:hAnsi="Cambria Math" w:cs="Arial"/>
                <w:lang w:val="en-US"/>
              </w:rPr>
              <m:t xml:space="preserve">× </m:t>
            </m:r>
            <m:sSup>
              <m:sSupPr>
                <m:ctrlPr>
                  <w:rPr>
                    <w:rFonts w:ascii="Cambria Math" w:eastAsia="Calibri" w:hAnsi="Cambria Math" w:cs="Arial"/>
                    <w:i/>
                  </w:rPr>
                </m:ctrlPr>
              </m:sSupPr>
              <m:e>
                <m:r>
                  <w:rPr>
                    <w:rFonts w:ascii="Cambria Math" w:eastAsia="Calibri" w:hAnsi="Cambria Math" w:cs="Arial"/>
                    <w:lang w:val="en-US"/>
                  </w:rPr>
                  <m:t>(1+</m:t>
                </m:r>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k</m:t>
                    </m:r>
                  </m:sub>
                </m:sSub>
                <m:r>
                  <w:rPr>
                    <w:rFonts w:ascii="Cambria Math" w:eastAsia="Calibri" w:hAnsi="Cambria Math" w:cs="Arial"/>
                    <w:lang w:val="en-US"/>
                  </w:rPr>
                  <m:t>)</m:t>
                </m:r>
              </m:e>
              <m:sup>
                <m:r>
                  <w:rPr>
                    <w:rFonts w:ascii="Cambria Math" w:eastAsia="Calibri" w:hAnsi="Cambria Math" w:cs="Arial"/>
                    <w:lang w:val="en-US"/>
                  </w:rPr>
                  <m:t>(</m:t>
                </m:r>
                <m:r>
                  <w:rPr>
                    <w:rFonts w:ascii="Cambria Math" w:eastAsia="Calibri" w:hAnsi="Cambria Math" w:cs="Arial"/>
                  </w:rPr>
                  <m:t>i</m:t>
                </m:r>
                <m:r>
                  <w:rPr>
                    <w:rFonts w:ascii="Cambria Math" w:eastAsia="Calibri" w:hAnsi="Cambria Math" w:cs="Arial"/>
                    <w:lang w:val="en-US"/>
                  </w:rPr>
                  <m:t>-</m:t>
                </m:r>
                <m:r>
                  <w:rPr>
                    <w:rFonts w:ascii="Cambria Math" w:eastAsia="Calibri" w:hAnsi="Cambria Math" w:cs="Arial"/>
                  </w:rPr>
                  <m:t>k</m:t>
                </m:r>
                <m:r>
                  <w:rPr>
                    <w:rFonts w:ascii="Cambria Math" w:eastAsia="Calibri" w:hAnsi="Cambria Math" w:cs="Arial"/>
                    <w:lang w:val="en-US"/>
                  </w:rPr>
                  <m:t>)</m:t>
                </m:r>
              </m:sup>
            </m:sSup>
          </m:e>
        </m:nary>
      </m:oMath>
    </w:p>
  </w:footnote>
  <w:footnote w:id="11">
    <w:p w14:paraId="1AB1101D" w14:textId="06194244" w:rsidR="007E47BE" w:rsidRDefault="007E47BE" w:rsidP="00AC010E">
      <w:pPr>
        <w:pStyle w:val="Voetnoottekst"/>
        <w:ind w:left="284" w:hanging="284"/>
        <w:rPr>
          <w:lang w:val="en-GB"/>
        </w:rPr>
      </w:pPr>
      <w:r w:rsidRPr="00CA35D4">
        <w:rPr>
          <w:rFonts w:ascii="Times New Roman" w:hAnsi="Times New Roman" w:cs="Times New Roman"/>
          <w:vertAlign w:val="superscript"/>
        </w:rPr>
        <w:footnoteRef/>
      </w:r>
      <w:r w:rsidRPr="00CA35D4">
        <w:rPr>
          <w:rFonts w:ascii="Times New Roman" w:hAnsi="Times New Roman" w:cs="Times New Roman"/>
          <w:vertAlign w:val="superscript"/>
          <w:lang w:val="en-GB"/>
        </w:rPr>
        <w:t xml:space="preserve"> </w:t>
      </w:r>
      <w:r w:rsidRPr="00CA35D4">
        <w:rPr>
          <w:rFonts w:ascii="Times New Roman" w:hAnsi="Times New Roman" w:cs="Times New Roman"/>
          <w:vertAlign w:val="superscript"/>
          <w:lang w:val="en-GB"/>
        </w:rPr>
        <w:tab/>
      </w:r>
      <w:r w:rsidRPr="00CA35D4">
        <w:rPr>
          <w:rFonts w:ascii="Times New Roman" w:hAnsi="Times New Roman" w:cs="Times New Roman"/>
          <w:lang w:val="en-GB"/>
        </w:rPr>
        <w:t>Not later than in the first six months of the year following the year of implementation the project (e.g. for a project starting in 202</w:t>
      </w:r>
      <w:r>
        <w:rPr>
          <w:rFonts w:ascii="Times New Roman" w:hAnsi="Times New Roman" w:cs="Times New Roman"/>
          <w:lang w:val="en-GB"/>
        </w:rPr>
        <w:t>2</w:t>
      </w:r>
      <w:r w:rsidRPr="00CA35D4">
        <w:rPr>
          <w:rFonts w:ascii="Times New Roman" w:hAnsi="Times New Roman" w:cs="Times New Roman"/>
          <w:lang w:val="en-GB"/>
        </w:rPr>
        <w:t>, by end June 202</w:t>
      </w:r>
      <w:r>
        <w:rPr>
          <w:rFonts w:ascii="Times New Roman" w:hAnsi="Times New Roman" w:cs="Times New Roman"/>
          <w:lang w:val="en-GB"/>
        </w:rPr>
        <w:t>3</w:t>
      </w:r>
      <w:r w:rsidRPr="00CA35D4">
        <w:rPr>
          <w:rFonts w:ascii="Times New Roman" w:hAnsi="Times New Roman" w:cs="Times New Roman"/>
          <w:lang w:val="en-GB"/>
        </w:rPr>
        <w:t xml:space="preserve"> at the latest).</w:t>
      </w:r>
      <w:r>
        <w:rPr>
          <w:lang w:val="en-GB"/>
        </w:rPr>
        <w:t xml:space="preserve"> </w:t>
      </w:r>
    </w:p>
  </w:footnote>
  <w:footnote w:id="12">
    <w:p w14:paraId="15C3F08B" w14:textId="77777777" w:rsidR="007E47BE" w:rsidRPr="00CA35D4" w:rsidRDefault="007E47BE" w:rsidP="00AC010E">
      <w:pPr>
        <w:pStyle w:val="Voetnoottekst"/>
        <w:ind w:left="284" w:hanging="284"/>
        <w:rPr>
          <w:rFonts w:ascii="Times New Roman" w:hAnsi="Times New Roman" w:cs="Times New Roman"/>
          <w:lang w:val="en-GB"/>
        </w:rPr>
      </w:pPr>
      <w:r w:rsidRPr="00CA35D4">
        <w:rPr>
          <w:rFonts w:ascii="Times New Roman" w:hAnsi="Times New Roman" w:cs="Times New Roman"/>
          <w:vertAlign w:val="superscript"/>
        </w:rPr>
        <w:footnoteRef/>
      </w:r>
      <w:r w:rsidRPr="00CA35D4">
        <w:rPr>
          <w:rFonts w:ascii="Times New Roman" w:hAnsi="Times New Roman" w:cs="Times New Roman"/>
          <w:vertAlign w:val="superscript"/>
          <w:lang w:val="en-GB"/>
        </w:rPr>
        <w:t xml:space="preserve"> </w:t>
      </w:r>
      <w:r w:rsidRPr="00CA35D4">
        <w:rPr>
          <w:rFonts w:ascii="Times New Roman" w:hAnsi="Times New Roman" w:cs="Times New Roman"/>
          <w:lang w:val="en-GB"/>
        </w:rPr>
        <w:tab/>
        <w:t>Excluding the specific administrative costs of a letter of credit, as well as fees and deposit interests related to an account.</w:t>
      </w:r>
    </w:p>
  </w:footnote>
  <w:footnote w:id="13">
    <w:p w14:paraId="18EFCD54" w14:textId="77777777" w:rsidR="007E47BE" w:rsidRDefault="007E47BE" w:rsidP="00AC010E">
      <w:pPr>
        <w:pStyle w:val="Voetnoottekst"/>
        <w:ind w:left="284" w:hanging="284"/>
        <w:rPr>
          <w:lang w:val="en-GB"/>
        </w:rPr>
      </w:pPr>
      <w:r w:rsidRPr="00CA35D4">
        <w:rPr>
          <w:rFonts w:ascii="Times New Roman" w:hAnsi="Times New Roman" w:cs="Times New Roman"/>
          <w:vertAlign w:val="superscript"/>
        </w:rPr>
        <w:footnoteRef/>
      </w:r>
      <w:r w:rsidRPr="00CA35D4">
        <w:rPr>
          <w:rFonts w:ascii="Times New Roman" w:hAnsi="Times New Roman" w:cs="Times New Roman"/>
          <w:vertAlign w:val="superscript"/>
          <w:lang w:val="en-GB"/>
        </w:rPr>
        <w:t xml:space="preserve"> </w:t>
      </w:r>
      <w:r w:rsidRPr="00CA35D4">
        <w:rPr>
          <w:rFonts w:ascii="Times New Roman" w:hAnsi="Times New Roman" w:cs="Times New Roman"/>
          <w:vertAlign w:val="superscript"/>
          <w:lang w:val="en-GB"/>
        </w:rPr>
        <w:tab/>
      </w:r>
      <w:r w:rsidRPr="00CA35D4">
        <w:rPr>
          <w:rFonts w:ascii="Times New Roman" w:hAnsi="Times New Roman" w:cs="Times New Roman"/>
          <w:lang w:val="en-GB"/>
        </w:rPr>
        <w:t>The competent services of the Commission will provide to the participating Member States a template in Excel format to assist them in the implementation of this claw-back mechanism, including in the form of an account-based system. This template should allow for comparable results of the account-based system with the “letter of credit” system when discounting both the final payment in the “letter of credit” system and the annual transfers to/from the account with the WACC.</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669E" w14:textId="77777777" w:rsidR="007E47BE" w:rsidRDefault="007E47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2763" w14:textId="77777777" w:rsidR="007E47BE" w:rsidRDefault="007E47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C65E" w14:textId="77777777" w:rsidR="007E47BE" w:rsidRDefault="007E47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31CA"/>
    <w:multiLevelType w:val="hybridMultilevel"/>
    <w:tmpl w:val="24A2DAE6"/>
    <w:lvl w:ilvl="0" w:tplc="DFC05BC6">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A16468B"/>
    <w:multiLevelType w:val="hybridMultilevel"/>
    <w:tmpl w:val="B71AED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304334"/>
    <w:multiLevelType w:val="hybridMultilevel"/>
    <w:tmpl w:val="82DEF130"/>
    <w:lvl w:ilvl="0" w:tplc="9FBEC6D6">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244554"/>
    <w:multiLevelType w:val="hybridMultilevel"/>
    <w:tmpl w:val="8B049D0A"/>
    <w:lvl w:ilvl="0" w:tplc="1DC8E954">
      <w:start w:val="1"/>
      <w:numFmt w:val="decimal"/>
      <w:lvlText w:val="%1."/>
      <w:lvlJc w:val="left"/>
      <w:pPr>
        <w:ind w:left="8014" w:hanging="360"/>
      </w:pPr>
      <w:rPr>
        <w:rFonts w:ascii="Arial" w:hAnsi="Arial" w:cs="Arial" w:hint="default"/>
        <w:b w:val="0"/>
        <w:sz w:val="20"/>
        <w:szCs w:val="22"/>
      </w:rPr>
    </w:lvl>
    <w:lvl w:ilvl="1" w:tplc="04070001">
      <w:start w:val="1"/>
      <w:numFmt w:val="bullet"/>
      <w:lvlText w:val=""/>
      <w:lvlJc w:val="left"/>
      <w:pPr>
        <w:ind w:left="1494"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FD20B86"/>
    <w:multiLevelType w:val="hybridMultilevel"/>
    <w:tmpl w:val="67664F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8415E7"/>
    <w:multiLevelType w:val="multilevel"/>
    <w:tmpl w:val="7E50678E"/>
    <w:lvl w:ilvl="0">
      <w:start w:val="1"/>
      <w:numFmt w:val="decimal"/>
      <w:pStyle w:val="Lijstnummering"/>
      <w:lvlText w:val="(%1)"/>
      <w:lvlJc w:val="left"/>
      <w:pPr>
        <w:tabs>
          <w:tab w:val="num" w:pos="709"/>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417"/>
        </w:tabs>
        <w:ind w:left="1417" w:hanging="708"/>
      </w:pPr>
      <w:rPr>
        <w:rFonts w:ascii="Symbol" w:hAnsi="Symbol" w:hint="default"/>
        <w:sz w:val="24"/>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8212"/>
        </w:tabs>
        <w:ind w:left="8212" w:hanging="840"/>
      </w:pPr>
    </w:lvl>
    <w:lvl w:ilvl="3">
      <w:start w:val="1"/>
      <w:numFmt w:val="decimal"/>
      <w:lvlText w:val="%1.%2.%3.%4."/>
      <w:lvlJc w:val="left"/>
      <w:pPr>
        <w:tabs>
          <w:tab w:val="num" w:pos="5497"/>
        </w:tabs>
        <w:ind w:left="5497"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5D0A6A"/>
    <w:multiLevelType w:val="hybridMultilevel"/>
    <w:tmpl w:val="A59E32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3D06D4"/>
    <w:multiLevelType w:val="hybridMultilevel"/>
    <w:tmpl w:val="583AF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D5"/>
    <w:rsid w:val="00047AFD"/>
    <w:rsid w:val="00052BD6"/>
    <w:rsid w:val="0005668A"/>
    <w:rsid w:val="000576D4"/>
    <w:rsid w:val="00073CD1"/>
    <w:rsid w:val="0008218D"/>
    <w:rsid w:val="000843E4"/>
    <w:rsid w:val="00084850"/>
    <w:rsid w:val="000874A5"/>
    <w:rsid w:val="000A662D"/>
    <w:rsid w:val="000B3AFE"/>
    <w:rsid w:val="000C68B0"/>
    <w:rsid w:val="000D2427"/>
    <w:rsid w:val="000E2A2F"/>
    <w:rsid w:val="000E572F"/>
    <w:rsid w:val="000E655E"/>
    <w:rsid w:val="000E7748"/>
    <w:rsid w:val="00110F0D"/>
    <w:rsid w:val="0011352B"/>
    <w:rsid w:val="001349E6"/>
    <w:rsid w:val="00140408"/>
    <w:rsid w:val="001655BB"/>
    <w:rsid w:val="00176788"/>
    <w:rsid w:val="00192DAB"/>
    <w:rsid w:val="001A17F8"/>
    <w:rsid w:val="001B3DCA"/>
    <w:rsid w:val="001C29BB"/>
    <w:rsid w:val="001D1E49"/>
    <w:rsid w:val="001E4F63"/>
    <w:rsid w:val="00203F51"/>
    <w:rsid w:val="00224435"/>
    <w:rsid w:val="002571D8"/>
    <w:rsid w:val="002C4D53"/>
    <w:rsid w:val="002C577F"/>
    <w:rsid w:val="002D2899"/>
    <w:rsid w:val="002E0F8E"/>
    <w:rsid w:val="003334E0"/>
    <w:rsid w:val="003445EE"/>
    <w:rsid w:val="003616A8"/>
    <w:rsid w:val="00363B4A"/>
    <w:rsid w:val="00370B8D"/>
    <w:rsid w:val="00383D64"/>
    <w:rsid w:val="003B62BE"/>
    <w:rsid w:val="003C7EB5"/>
    <w:rsid w:val="003E405B"/>
    <w:rsid w:val="003F158D"/>
    <w:rsid w:val="004340FB"/>
    <w:rsid w:val="004611DE"/>
    <w:rsid w:val="00461C7A"/>
    <w:rsid w:val="00470381"/>
    <w:rsid w:val="00493F56"/>
    <w:rsid w:val="004B6253"/>
    <w:rsid w:val="005005A1"/>
    <w:rsid w:val="005054ED"/>
    <w:rsid w:val="00520D59"/>
    <w:rsid w:val="005435FE"/>
    <w:rsid w:val="00547D0F"/>
    <w:rsid w:val="0055320A"/>
    <w:rsid w:val="00555764"/>
    <w:rsid w:val="00563408"/>
    <w:rsid w:val="0057069E"/>
    <w:rsid w:val="00584E52"/>
    <w:rsid w:val="0059004B"/>
    <w:rsid w:val="00590BCC"/>
    <w:rsid w:val="0059346B"/>
    <w:rsid w:val="005A7EFB"/>
    <w:rsid w:val="005B7C10"/>
    <w:rsid w:val="00627616"/>
    <w:rsid w:val="0063281E"/>
    <w:rsid w:val="0064047C"/>
    <w:rsid w:val="00673F99"/>
    <w:rsid w:val="0067480B"/>
    <w:rsid w:val="0068238D"/>
    <w:rsid w:val="006B0135"/>
    <w:rsid w:val="006C0F22"/>
    <w:rsid w:val="006E5D9E"/>
    <w:rsid w:val="00727F8D"/>
    <w:rsid w:val="00737367"/>
    <w:rsid w:val="007822FE"/>
    <w:rsid w:val="007938AD"/>
    <w:rsid w:val="00797D98"/>
    <w:rsid w:val="007A21E6"/>
    <w:rsid w:val="007B4E4C"/>
    <w:rsid w:val="007C7871"/>
    <w:rsid w:val="007E47BE"/>
    <w:rsid w:val="00802A68"/>
    <w:rsid w:val="00821A96"/>
    <w:rsid w:val="00827B33"/>
    <w:rsid w:val="00870A23"/>
    <w:rsid w:val="00875DEB"/>
    <w:rsid w:val="00894BB4"/>
    <w:rsid w:val="008A4BA9"/>
    <w:rsid w:val="008B468B"/>
    <w:rsid w:val="008E471F"/>
    <w:rsid w:val="008F0DF0"/>
    <w:rsid w:val="00903ADA"/>
    <w:rsid w:val="009454E1"/>
    <w:rsid w:val="00966DA9"/>
    <w:rsid w:val="00984654"/>
    <w:rsid w:val="009A7A7D"/>
    <w:rsid w:val="009B39ED"/>
    <w:rsid w:val="009C6108"/>
    <w:rsid w:val="009F3B2A"/>
    <w:rsid w:val="009F7592"/>
    <w:rsid w:val="009F763E"/>
    <w:rsid w:val="00A05BF7"/>
    <w:rsid w:val="00A10465"/>
    <w:rsid w:val="00A2704E"/>
    <w:rsid w:val="00A334DA"/>
    <w:rsid w:val="00A41125"/>
    <w:rsid w:val="00A44F89"/>
    <w:rsid w:val="00A6373D"/>
    <w:rsid w:val="00A73826"/>
    <w:rsid w:val="00A90822"/>
    <w:rsid w:val="00AC010E"/>
    <w:rsid w:val="00AE1711"/>
    <w:rsid w:val="00AE6A32"/>
    <w:rsid w:val="00B03AC9"/>
    <w:rsid w:val="00B0585E"/>
    <w:rsid w:val="00B066A1"/>
    <w:rsid w:val="00B273A2"/>
    <w:rsid w:val="00B7009F"/>
    <w:rsid w:val="00B86C72"/>
    <w:rsid w:val="00B872D5"/>
    <w:rsid w:val="00B967BC"/>
    <w:rsid w:val="00BA3FB8"/>
    <w:rsid w:val="00BB34BE"/>
    <w:rsid w:val="00BB664C"/>
    <w:rsid w:val="00BE4526"/>
    <w:rsid w:val="00BF1949"/>
    <w:rsid w:val="00C1199E"/>
    <w:rsid w:val="00C23994"/>
    <w:rsid w:val="00C44B43"/>
    <w:rsid w:val="00C836D2"/>
    <w:rsid w:val="00C93DC6"/>
    <w:rsid w:val="00C96EAA"/>
    <w:rsid w:val="00CA35D4"/>
    <w:rsid w:val="00CA62D5"/>
    <w:rsid w:val="00CB4685"/>
    <w:rsid w:val="00CD2080"/>
    <w:rsid w:val="00CD2083"/>
    <w:rsid w:val="00CF2044"/>
    <w:rsid w:val="00D337F2"/>
    <w:rsid w:val="00D42808"/>
    <w:rsid w:val="00D45511"/>
    <w:rsid w:val="00D5798F"/>
    <w:rsid w:val="00D728DF"/>
    <w:rsid w:val="00D758C6"/>
    <w:rsid w:val="00D875DB"/>
    <w:rsid w:val="00D94986"/>
    <w:rsid w:val="00D96226"/>
    <w:rsid w:val="00D96A88"/>
    <w:rsid w:val="00DC1E01"/>
    <w:rsid w:val="00DF33DF"/>
    <w:rsid w:val="00DF5F7D"/>
    <w:rsid w:val="00E27300"/>
    <w:rsid w:val="00E35D32"/>
    <w:rsid w:val="00E35DA1"/>
    <w:rsid w:val="00E41A30"/>
    <w:rsid w:val="00E57031"/>
    <w:rsid w:val="00E635F8"/>
    <w:rsid w:val="00E850AD"/>
    <w:rsid w:val="00EC47DC"/>
    <w:rsid w:val="00EC7519"/>
    <w:rsid w:val="00EE6863"/>
    <w:rsid w:val="00EF31BF"/>
    <w:rsid w:val="00F30232"/>
    <w:rsid w:val="00F45D77"/>
    <w:rsid w:val="00F55097"/>
    <w:rsid w:val="00F73BE7"/>
    <w:rsid w:val="00F81007"/>
    <w:rsid w:val="00FB4357"/>
    <w:rsid w:val="00FB6A2E"/>
    <w:rsid w:val="00FC4BE1"/>
    <w:rsid w:val="00FD39D6"/>
    <w:rsid w:val="00FF03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C6A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BA9"/>
  </w:style>
  <w:style w:type="paragraph" w:styleId="Kop1">
    <w:name w:val="heading 1"/>
    <w:aliases w:val="Car"/>
    <w:basedOn w:val="Standaard"/>
    <w:next w:val="Standaard"/>
    <w:link w:val="Kop1Char"/>
    <w:uiPriority w:val="9"/>
    <w:qFormat/>
    <w:rsid w:val="00CA6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aliases w:val="Titre 2 Car1,Car4 Car"/>
    <w:basedOn w:val="Standaard"/>
    <w:next w:val="Standaard"/>
    <w:link w:val="Kop2Char"/>
    <w:uiPriority w:val="9"/>
    <w:unhideWhenUsed/>
    <w:qFormat/>
    <w:rsid w:val="00CA62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AC010E"/>
    <w:pPr>
      <w:keepNext/>
      <w:tabs>
        <w:tab w:val="num" w:pos="8212"/>
      </w:tabs>
      <w:spacing w:after="240" w:line="240" w:lineRule="auto"/>
      <w:ind w:left="8212" w:hanging="840"/>
      <w:jc w:val="both"/>
      <w:outlineLvl w:val="2"/>
    </w:pPr>
    <w:rPr>
      <w:rFonts w:ascii="Times New Roman" w:eastAsia="Times New Roman" w:hAnsi="Times New Roman" w:cs="Times New Roman"/>
      <w:i/>
      <w:sz w:val="24"/>
      <w:szCs w:val="20"/>
      <w:lang w:val="en-GB"/>
    </w:rPr>
  </w:style>
  <w:style w:type="paragraph" w:styleId="Kop4">
    <w:name w:val="heading 4"/>
    <w:basedOn w:val="Standaard"/>
    <w:next w:val="Standaard"/>
    <w:link w:val="Kop4Char"/>
    <w:uiPriority w:val="9"/>
    <w:semiHidden/>
    <w:unhideWhenUsed/>
    <w:qFormat/>
    <w:rsid w:val="00AC010E"/>
    <w:pPr>
      <w:keepNext/>
      <w:tabs>
        <w:tab w:val="num" w:pos="5497"/>
      </w:tabs>
      <w:spacing w:after="240" w:line="240" w:lineRule="auto"/>
      <w:ind w:left="5497" w:hanging="960"/>
      <w:jc w:val="both"/>
      <w:outlineLvl w:val="3"/>
    </w:pPr>
    <w:rPr>
      <w:rFonts w:ascii="Times New Roman" w:eastAsia="Times New Roman" w:hAnsi="Times New Roman" w:cs="Times New Roman"/>
      <w:sz w:val="24"/>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Car Char"/>
    <w:basedOn w:val="Standaardalinea-lettertype"/>
    <w:link w:val="Kop1"/>
    <w:uiPriority w:val="9"/>
    <w:rsid w:val="00CA62D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A62D5"/>
    <w:pPr>
      <w:ind w:left="720"/>
      <w:contextualSpacing/>
    </w:pPr>
  </w:style>
  <w:style w:type="character" w:customStyle="1" w:styleId="Kop2Char">
    <w:name w:val="Kop 2 Char"/>
    <w:aliases w:val="Titre 2 Car1 Char,Car4 Car Char"/>
    <w:basedOn w:val="Standaardalinea-lettertype"/>
    <w:link w:val="Kop2"/>
    <w:uiPriority w:val="9"/>
    <w:rsid w:val="00CA62D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AC010E"/>
    <w:rPr>
      <w:rFonts w:ascii="Times New Roman" w:eastAsia="Times New Roman" w:hAnsi="Times New Roman" w:cs="Times New Roman"/>
      <w:i/>
      <w:sz w:val="24"/>
      <w:szCs w:val="20"/>
      <w:lang w:val="en-GB"/>
    </w:rPr>
  </w:style>
  <w:style w:type="character" w:customStyle="1" w:styleId="Kop4Char">
    <w:name w:val="Kop 4 Char"/>
    <w:basedOn w:val="Standaardalinea-lettertype"/>
    <w:link w:val="Kop4"/>
    <w:uiPriority w:val="9"/>
    <w:semiHidden/>
    <w:rsid w:val="00AC010E"/>
    <w:rPr>
      <w:rFonts w:ascii="Times New Roman" w:eastAsia="Times New Roman" w:hAnsi="Times New Roman" w:cs="Times New Roman"/>
      <w:sz w:val="24"/>
      <w:szCs w:val="20"/>
      <w:lang w:val="en-GB"/>
    </w:rPr>
  </w:style>
  <w:style w:type="paragraph" w:styleId="Normaalweb">
    <w:name w:val="Normal (Web)"/>
    <w:basedOn w:val="Standaard"/>
    <w:uiPriority w:val="99"/>
    <w:semiHidden/>
    <w:unhideWhenUsed/>
    <w:rsid w:val="00AC010E"/>
    <w:pPr>
      <w:spacing w:line="256" w:lineRule="auto"/>
    </w:pPr>
    <w:rPr>
      <w:rFonts w:ascii="Times New Roman" w:hAnsi="Times New Roman" w:cs="Times New Roman"/>
      <w:sz w:val="24"/>
      <w:szCs w:val="24"/>
    </w:rPr>
  </w:style>
  <w:style w:type="paragraph" w:styleId="Voetnoottekst">
    <w:name w:val="footnote text"/>
    <w:aliases w:val="Schriftart: 9 pt,Schriftart: 10 pt,Schriftart: 8 pt,WB-Fußnotentext,fn,footnote text,Footnotes,Footnote ak,FoodNote,ft,Footnote text,Footnote,Footnote Text Char1,Footnote Text Char Char,Footnote Text Char1 Char Cha,FT,IT Fußnotentext"/>
    <w:basedOn w:val="Standaard"/>
    <w:link w:val="VoetnoottekstChar"/>
    <w:uiPriority w:val="99"/>
    <w:unhideWhenUsed/>
    <w:qFormat/>
    <w:rsid w:val="00AC010E"/>
    <w:pPr>
      <w:spacing w:after="0" w:line="240" w:lineRule="auto"/>
    </w:pPr>
    <w:rPr>
      <w:sz w:val="20"/>
      <w:szCs w:val="20"/>
    </w:rPr>
  </w:style>
  <w:style w:type="character" w:customStyle="1" w:styleId="VoetnoottekstChar">
    <w:name w:val="Voetnoottekst Char"/>
    <w:aliases w:val="Schriftart: 9 pt Char,Schriftart: 10 pt Char,Schriftart: 8 pt Char,WB-Fußnotentext Char,fn Char,footnote text Char,Footnotes Char,Footnote ak Char,FoodNote Char,ft Char,Footnote text Char,Footnote Char,Footnote Text Char1 Char,FT Char"/>
    <w:basedOn w:val="Standaardalinea-lettertype"/>
    <w:link w:val="Voetnoottekst"/>
    <w:uiPriority w:val="99"/>
    <w:qFormat/>
    <w:rsid w:val="00AC010E"/>
    <w:rPr>
      <w:sz w:val="20"/>
      <w:szCs w:val="20"/>
    </w:rPr>
  </w:style>
  <w:style w:type="paragraph" w:styleId="Lijstnummering">
    <w:name w:val="List Number"/>
    <w:basedOn w:val="Standaard"/>
    <w:uiPriority w:val="99"/>
    <w:unhideWhenUsed/>
    <w:rsid w:val="00AC010E"/>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uiPriority w:val="99"/>
    <w:semiHidden/>
    <w:rsid w:val="00AC010E"/>
    <w:pPr>
      <w:numPr>
        <w:ilvl w:val="2"/>
        <w:numId w:val="5"/>
      </w:numPr>
      <w:tabs>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Level4">
    <w:name w:val="List Number (Level 4)"/>
    <w:basedOn w:val="Standaard"/>
    <w:uiPriority w:val="99"/>
    <w:semiHidden/>
    <w:rsid w:val="00AC010E"/>
    <w:pPr>
      <w:numPr>
        <w:ilvl w:val="3"/>
        <w:numId w:val="5"/>
      </w:numPr>
      <w:tabs>
        <w:tab w:val="num" w:pos="360"/>
      </w:tabs>
      <w:spacing w:after="240" w:line="240" w:lineRule="auto"/>
      <w:ind w:left="0" w:firstLine="0"/>
      <w:jc w:val="both"/>
    </w:pPr>
    <w:rPr>
      <w:rFonts w:ascii="Times New Roman" w:eastAsia="Times New Roman" w:hAnsi="Times New Roman" w:cs="Times New Roman"/>
      <w:sz w:val="24"/>
      <w:szCs w:val="20"/>
      <w:lang w:val="en-GB"/>
    </w:rPr>
  </w:style>
  <w:style w:type="character" w:styleId="Voetnootmarkering">
    <w:name w:val="footnote reference"/>
    <w:aliases w:val="Footnote symbol,Times 10 Point,Exposant 3 Point,Appel note de bas de p,Footnote Reference Superscript,PBO Footnote Reference,FR + (Complex) Arial,(Latin) 9 pt,(Complex) 10 pt + (Compl...,Voetnootverwijzing,Nota,Char1"/>
    <w:basedOn w:val="Standaardalinea-lettertype"/>
    <w:link w:val="Footnotenumber"/>
    <w:uiPriority w:val="99"/>
    <w:unhideWhenUsed/>
    <w:qFormat/>
    <w:rsid w:val="00AC010E"/>
    <w:rPr>
      <w:vertAlign w:val="superscript"/>
    </w:rPr>
  </w:style>
  <w:style w:type="paragraph" w:customStyle="1" w:styleId="Footnotenumber">
    <w:name w:val="Footnote number"/>
    <w:aliases w:val="fr"/>
    <w:basedOn w:val="Standaard"/>
    <w:link w:val="Voetnootmarkering"/>
    <w:uiPriority w:val="99"/>
    <w:rsid w:val="00AC010E"/>
    <w:pPr>
      <w:spacing w:line="240" w:lineRule="exact"/>
    </w:pPr>
    <w:rPr>
      <w:vertAlign w:val="superscript"/>
    </w:rPr>
  </w:style>
  <w:style w:type="character" w:customStyle="1" w:styleId="FlietextZchn">
    <w:name w:val="Fließtext Zchn"/>
    <w:basedOn w:val="Standaardalinea-lettertype"/>
    <w:link w:val="Flietext"/>
    <w:uiPriority w:val="2"/>
    <w:locked/>
    <w:rsid w:val="00AC010E"/>
    <w:rPr>
      <w:rFonts w:ascii="Calibri" w:eastAsia="Calibri" w:hAnsi="Calibri" w:cs="Calibri"/>
      <w:color w:val="262626" w:themeColor="text1" w:themeTint="D9"/>
    </w:rPr>
  </w:style>
  <w:style w:type="paragraph" w:customStyle="1" w:styleId="Flietext">
    <w:name w:val="Fließtext"/>
    <w:basedOn w:val="Plattetekst"/>
    <w:link w:val="FlietextZchn"/>
    <w:uiPriority w:val="2"/>
    <w:qFormat/>
    <w:rsid w:val="00AC010E"/>
    <w:pPr>
      <w:spacing w:before="240" w:after="240" w:line="276" w:lineRule="auto"/>
      <w:ind w:left="851" w:hanging="567"/>
      <w:jc w:val="both"/>
    </w:pPr>
    <w:rPr>
      <w:rFonts w:ascii="Calibri" w:eastAsia="Calibri" w:hAnsi="Calibri" w:cs="Calibri"/>
      <w:color w:val="262626" w:themeColor="text1" w:themeTint="D9"/>
    </w:rPr>
  </w:style>
  <w:style w:type="paragraph" w:styleId="Plattetekst">
    <w:name w:val="Body Text"/>
    <w:basedOn w:val="Standaard"/>
    <w:link w:val="PlattetekstChar"/>
    <w:uiPriority w:val="99"/>
    <w:semiHidden/>
    <w:unhideWhenUsed/>
    <w:rsid w:val="00AC010E"/>
    <w:pPr>
      <w:spacing w:after="120"/>
    </w:pPr>
  </w:style>
  <w:style w:type="character" w:customStyle="1" w:styleId="PlattetekstChar">
    <w:name w:val="Platte tekst Char"/>
    <w:basedOn w:val="Standaardalinea-lettertype"/>
    <w:link w:val="Plattetekst"/>
    <w:uiPriority w:val="99"/>
    <w:semiHidden/>
    <w:rsid w:val="00AC010E"/>
  </w:style>
  <w:style w:type="character" w:styleId="Verwijzingopmerking">
    <w:name w:val="annotation reference"/>
    <w:basedOn w:val="Standaardalinea-lettertype"/>
    <w:uiPriority w:val="99"/>
    <w:semiHidden/>
    <w:unhideWhenUsed/>
    <w:rsid w:val="00FC4BE1"/>
    <w:rPr>
      <w:sz w:val="16"/>
      <w:szCs w:val="16"/>
    </w:rPr>
  </w:style>
  <w:style w:type="paragraph" w:styleId="Tekstopmerking">
    <w:name w:val="annotation text"/>
    <w:basedOn w:val="Standaard"/>
    <w:link w:val="TekstopmerkingChar"/>
    <w:uiPriority w:val="99"/>
    <w:unhideWhenUsed/>
    <w:rsid w:val="00FC4BE1"/>
    <w:pPr>
      <w:spacing w:line="240" w:lineRule="auto"/>
    </w:pPr>
    <w:rPr>
      <w:sz w:val="20"/>
      <w:szCs w:val="20"/>
    </w:rPr>
  </w:style>
  <w:style w:type="character" w:customStyle="1" w:styleId="TekstopmerkingChar">
    <w:name w:val="Tekst opmerking Char"/>
    <w:basedOn w:val="Standaardalinea-lettertype"/>
    <w:link w:val="Tekstopmerking"/>
    <w:uiPriority w:val="99"/>
    <w:rsid w:val="00FC4BE1"/>
    <w:rPr>
      <w:sz w:val="20"/>
      <w:szCs w:val="20"/>
    </w:rPr>
  </w:style>
  <w:style w:type="paragraph" w:styleId="Onderwerpvanopmerking">
    <w:name w:val="annotation subject"/>
    <w:basedOn w:val="Tekstopmerking"/>
    <w:next w:val="Tekstopmerking"/>
    <w:link w:val="OnderwerpvanopmerkingChar"/>
    <w:uiPriority w:val="99"/>
    <w:semiHidden/>
    <w:unhideWhenUsed/>
    <w:rsid w:val="00FC4BE1"/>
    <w:rPr>
      <w:b/>
      <w:bCs/>
    </w:rPr>
  </w:style>
  <w:style w:type="character" w:customStyle="1" w:styleId="OnderwerpvanopmerkingChar">
    <w:name w:val="Onderwerp van opmerking Char"/>
    <w:basedOn w:val="TekstopmerkingChar"/>
    <w:link w:val="Onderwerpvanopmerking"/>
    <w:uiPriority w:val="99"/>
    <w:semiHidden/>
    <w:rsid w:val="00FC4BE1"/>
    <w:rPr>
      <w:b/>
      <w:bCs/>
      <w:sz w:val="20"/>
      <w:szCs w:val="20"/>
    </w:rPr>
  </w:style>
  <w:style w:type="paragraph" w:styleId="Ballontekst">
    <w:name w:val="Balloon Text"/>
    <w:basedOn w:val="Standaard"/>
    <w:link w:val="BallontekstChar"/>
    <w:uiPriority w:val="99"/>
    <w:semiHidden/>
    <w:unhideWhenUsed/>
    <w:rsid w:val="00FC4B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4BE1"/>
    <w:rPr>
      <w:rFonts w:ascii="Segoe UI" w:hAnsi="Segoe UI" w:cs="Segoe UI"/>
      <w:sz w:val="18"/>
      <w:szCs w:val="18"/>
    </w:rPr>
  </w:style>
  <w:style w:type="character" w:styleId="Tekstvantijdelijkeaanduiding">
    <w:name w:val="Placeholder Text"/>
    <w:basedOn w:val="Standaardalinea-lettertype"/>
    <w:uiPriority w:val="99"/>
    <w:semiHidden/>
    <w:rsid w:val="00875DEB"/>
    <w:rPr>
      <w:color w:val="808080"/>
    </w:rPr>
  </w:style>
  <w:style w:type="paragraph" w:styleId="Revisie">
    <w:name w:val="Revision"/>
    <w:hidden/>
    <w:uiPriority w:val="99"/>
    <w:semiHidden/>
    <w:rsid w:val="008E471F"/>
    <w:pPr>
      <w:spacing w:after="0" w:line="240" w:lineRule="auto"/>
    </w:pPr>
  </w:style>
  <w:style w:type="table" w:styleId="Tabelraster">
    <w:name w:val="Table Grid"/>
    <w:basedOn w:val="Standaardtabel"/>
    <w:uiPriority w:val="39"/>
    <w:rsid w:val="0054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B66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664C"/>
  </w:style>
  <w:style w:type="paragraph" w:styleId="Voettekst">
    <w:name w:val="footer"/>
    <w:basedOn w:val="Standaard"/>
    <w:link w:val="VoettekstChar"/>
    <w:uiPriority w:val="99"/>
    <w:unhideWhenUsed/>
    <w:rsid w:val="00BB66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555">
      <w:bodyDiv w:val="1"/>
      <w:marLeft w:val="0"/>
      <w:marRight w:val="0"/>
      <w:marTop w:val="0"/>
      <w:marBottom w:val="0"/>
      <w:divBdr>
        <w:top w:val="none" w:sz="0" w:space="0" w:color="auto"/>
        <w:left w:val="none" w:sz="0" w:space="0" w:color="auto"/>
        <w:bottom w:val="none" w:sz="0" w:space="0" w:color="auto"/>
        <w:right w:val="none" w:sz="0" w:space="0" w:color="auto"/>
      </w:divBdr>
    </w:div>
    <w:div w:id="320962404">
      <w:bodyDiv w:val="1"/>
      <w:marLeft w:val="0"/>
      <w:marRight w:val="0"/>
      <w:marTop w:val="0"/>
      <w:marBottom w:val="0"/>
      <w:divBdr>
        <w:top w:val="none" w:sz="0" w:space="0" w:color="auto"/>
        <w:left w:val="none" w:sz="0" w:space="0" w:color="auto"/>
        <w:bottom w:val="none" w:sz="0" w:space="0" w:color="auto"/>
        <w:right w:val="none" w:sz="0" w:space="0" w:color="auto"/>
      </w:divBdr>
    </w:div>
    <w:div w:id="544410662">
      <w:bodyDiv w:val="1"/>
      <w:marLeft w:val="0"/>
      <w:marRight w:val="0"/>
      <w:marTop w:val="0"/>
      <w:marBottom w:val="0"/>
      <w:divBdr>
        <w:top w:val="none" w:sz="0" w:space="0" w:color="auto"/>
        <w:left w:val="none" w:sz="0" w:space="0" w:color="auto"/>
        <w:bottom w:val="none" w:sz="0" w:space="0" w:color="auto"/>
        <w:right w:val="none" w:sz="0" w:space="0" w:color="auto"/>
      </w:divBdr>
    </w:div>
    <w:div w:id="759639609">
      <w:bodyDiv w:val="1"/>
      <w:marLeft w:val="0"/>
      <w:marRight w:val="0"/>
      <w:marTop w:val="0"/>
      <w:marBottom w:val="0"/>
      <w:divBdr>
        <w:top w:val="none" w:sz="0" w:space="0" w:color="auto"/>
        <w:left w:val="none" w:sz="0" w:space="0" w:color="auto"/>
        <w:bottom w:val="none" w:sz="0" w:space="0" w:color="auto"/>
        <w:right w:val="none" w:sz="0" w:space="0" w:color="auto"/>
      </w:divBdr>
    </w:div>
    <w:div w:id="846948582">
      <w:bodyDiv w:val="1"/>
      <w:marLeft w:val="0"/>
      <w:marRight w:val="0"/>
      <w:marTop w:val="0"/>
      <w:marBottom w:val="0"/>
      <w:divBdr>
        <w:top w:val="none" w:sz="0" w:space="0" w:color="auto"/>
        <w:left w:val="none" w:sz="0" w:space="0" w:color="auto"/>
        <w:bottom w:val="none" w:sz="0" w:space="0" w:color="auto"/>
        <w:right w:val="none" w:sz="0" w:space="0" w:color="auto"/>
      </w:divBdr>
    </w:div>
    <w:div w:id="1590039744">
      <w:bodyDiv w:val="1"/>
      <w:marLeft w:val="0"/>
      <w:marRight w:val="0"/>
      <w:marTop w:val="0"/>
      <w:marBottom w:val="0"/>
      <w:divBdr>
        <w:top w:val="none" w:sz="0" w:space="0" w:color="auto"/>
        <w:left w:val="none" w:sz="0" w:space="0" w:color="auto"/>
        <w:bottom w:val="none" w:sz="0" w:space="0" w:color="auto"/>
        <w:right w:val="none" w:sz="0" w:space="0" w:color="auto"/>
      </w:divBdr>
    </w:div>
    <w:div w:id="1655140690">
      <w:bodyDiv w:val="1"/>
      <w:marLeft w:val="0"/>
      <w:marRight w:val="0"/>
      <w:marTop w:val="0"/>
      <w:marBottom w:val="0"/>
      <w:divBdr>
        <w:top w:val="none" w:sz="0" w:space="0" w:color="auto"/>
        <w:left w:val="none" w:sz="0" w:space="0" w:color="auto"/>
        <w:bottom w:val="none" w:sz="0" w:space="0" w:color="auto"/>
        <w:right w:val="none" w:sz="0" w:space="0" w:color="auto"/>
      </w:divBdr>
    </w:div>
    <w:div w:id="20533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53AC-0A02-48A7-B535-2C7A490D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8931</Characters>
  <Application>Microsoft Office Word</Application>
  <DocSecurity>0</DocSecurity>
  <Lines>74</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2022-07-27T07:42:00Z</dcterms:created>
  <dcterms:modified xsi:type="dcterms:W3CDTF">2022-07-27T07:42:00Z</dcterms:modified>
</cp:coreProperties>
</file>