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79FD" w14:textId="77777777" w:rsidR="00424DF0" w:rsidRDefault="00424DF0" w:rsidP="00424DF0">
      <w:pPr>
        <w:ind w:left="1815" w:hanging="1815"/>
        <w:rPr>
          <w:szCs w:val="18"/>
        </w:rPr>
      </w:pPr>
      <w:bookmarkStart w:id="0" w:name="_Hlk201052466"/>
    </w:p>
    <w:p w14:paraId="50915775" w14:textId="77777777" w:rsidR="00424DF0" w:rsidRDefault="00424DF0" w:rsidP="00424DF0">
      <w:pPr>
        <w:ind w:left="1815" w:hanging="1815"/>
        <w:rPr>
          <w:szCs w:val="18"/>
        </w:rPr>
      </w:pPr>
    </w:p>
    <w:p w14:paraId="028BC6E8" w14:textId="72D4F686" w:rsidR="00424DF0" w:rsidRDefault="00424DF0" w:rsidP="00424DF0">
      <w:pPr>
        <w:ind w:left="1815" w:hanging="1815"/>
        <w:rPr>
          <w:szCs w:val="18"/>
        </w:rPr>
      </w:pPr>
      <w:r w:rsidRPr="00D2398D">
        <w:rPr>
          <w:szCs w:val="18"/>
        </w:rPr>
        <w:t>Betreft</w:t>
      </w:r>
      <w:r w:rsidRPr="00D2398D">
        <w:rPr>
          <w:szCs w:val="18"/>
        </w:rPr>
        <w:tab/>
      </w:r>
      <w:r>
        <w:rPr>
          <w:szCs w:val="18"/>
        </w:rPr>
        <w:tab/>
        <w:t>A</w:t>
      </w:r>
      <w:r w:rsidRPr="00D2398D">
        <w:rPr>
          <w:szCs w:val="18"/>
        </w:rPr>
        <w:t>ccountant</w:t>
      </w:r>
      <w:r>
        <w:rPr>
          <w:szCs w:val="18"/>
        </w:rPr>
        <w:t>sprotocol</w:t>
      </w:r>
      <w:r w:rsidRPr="00D2398D">
        <w:rPr>
          <w:szCs w:val="18"/>
        </w:rPr>
        <w:t xml:space="preserve"> standaard</w:t>
      </w:r>
      <w:r>
        <w:rPr>
          <w:szCs w:val="18"/>
        </w:rPr>
        <w:t xml:space="preserve"> 3400 </w:t>
      </w:r>
    </w:p>
    <w:p w14:paraId="475A7724" w14:textId="491DCC58" w:rsidR="00424DF0" w:rsidRDefault="00424DF0" w:rsidP="00424DF0">
      <w:pPr>
        <w:ind w:left="2124"/>
        <w:rPr>
          <w:szCs w:val="18"/>
        </w:rPr>
      </w:pPr>
      <w:r>
        <w:rPr>
          <w:szCs w:val="18"/>
        </w:rPr>
        <w:t>– onderzoek van toekomstige financiële informatie – in het kader van de NIKI-regeling.</w:t>
      </w:r>
    </w:p>
    <w:p w14:paraId="749982A4" w14:textId="2A19DB0B" w:rsidR="00424DF0" w:rsidRDefault="00424DF0" w:rsidP="00424DF0">
      <w:pPr>
        <w:rPr>
          <w:szCs w:val="18"/>
        </w:rPr>
      </w:pPr>
      <w:r>
        <w:rPr>
          <w:szCs w:val="18"/>
        </w:rPr>
        <w:t xml:space="preserve">Ten behoeve van </w:t>
      </w:r>
      <w:r>
        <w:rPr>
          <w:szCs w:val="18"/>
        </w:rPr>
        <w:tab/>
        <w:t>De door de aanvrager</w:t>
      </w:r>
      <w:r w:rsidRPr="002B4F9B">
        <w:rPr>
          <w:szCs w:val="18"/>
        </w:rPr>
        <w:t xml:space="preserve"> </w:t>
      </w:r>
      <w:r>
        <w:rPr>
          <w:szCs w:val="18"/>
        </w:rPr>
        <w:t xml:space="preserve">aangewezen accountant </w:t>
      </w:r>
    </w:p>
    <w:p w14:paraId="4035C803" w14:textId="65D48917" w:rsidR="00424DF0" w:rsidRDefault="00424DF0" w:rsidP="00424DF0">
      <w:pPr>
        <w:rPr>
          <w:szCs w:val="18"/>
        </w:rPr>
      </w:pPr>
      <w:r>
        <w:rPr>
          <w:szCs w:val="18"/>
        </w:rPr>
        <w:t>Datum</w:t>
      </w:r>
      <w:r>
        <w:rPr>
          <w:szCs w:val="18"/>
        </w:rPr>
        <w:tab/>
      </w:r>
      <w:r>
        <w:rPr>
          <w:szCs w:val="18"/>
        </w:rPr>
        <w:tab/>
      </w:r>
      <w:r>
        <w:rPr>
          <w:szCs w:val="18"/>
        </w:rPr>
        <w:tab/>
      </w:r>
      <w:r w:rsidR="000853A3">
        <w:rPr>
          <w:szCs w:val="18"/>
        </w:rPr>
        <w:t>1</w:t>
      </w:r>
      <w:r w:rsidR="00E27A35">
        <w:rPr>
          <w:szCs w:val="18"/>
        </w:rPr>
        <w:t>4</w:t>
      </w:r>
      <w:r>
        <w:rPr>
          <w:szCs w:val="18"/>
        </w:rPr>
        <w:t>-0</w:t>
      </w:r>
      <w:r w:rsidR="00E27A35">
        <w:rPr>
          <w:szCs w:val="18"/>
        </w:rPr>
        <w:t>7</w:t>
      </w:r>
      <w:r>
        <w:rPr>
          <w:szCs w:val="18"/>
        </w:rPr>
        <w:t>-2025</w:t>
      </w:r>
    </w:p>
    <w:p w14:paraId="6A46ED6F" w14:textId="77777777" w:rsidR="00424DF0" w:rsidRDefault="00424DF0" w:rsidP="00424DF0">
      <w:pPr>
        <w:rPr>
          <w:szCs w:val="18"/>
        </w:rPr>
      </w:pPr>
    </w:p>
    <w:p w14:paraId="3E0FAD11" w14:textId="77777777" w:rsidR="00424DF0" w:rsidRPr="00DF06F9" w:rsidRDefault="00424DF0" w:rsidP="00424DF0">
      <w:pPr>
        <w:pStyle w:val="Kop1"/>
        <w:rPr>
          <w:lang w:val="nl-NL"/>
        </w:rPr>
      </w:pPr>
      <w:r w:rsidRPr="00DF06F9">
        <w:rPr>
          <w:lang w:val="nl-NL"/>
        </w:rPr>
        <w:t>Inleiding</w:t>
      </w:r>
    </w:p>
    <w:p w14:paraId="7A6F34AC" w14:textId="77777777" w:rsidR="00424DF0" w:rsidRDefault="00424DF0" w:rsidP="00424DF0">
      <w:pPr>
        <w:rPr>
          <w:b/>
          <w:bCs/>
          <w:szCs w:val="18"/>
        </w:rPr>
      </w:pPr>
      <w:r>
        <w:rPr>
          <w:szCs w:val="18"/>
        </w:rPr>
        <w:t xml:space="preserve">Dit protocol </w:t>
      </w:r>
      <w:r w:rsidRPr="00B41D9C">
        <w:rPr>
          <w:szCs w:val="18"/>
        </w:rPr>
        <w:t>heeft als doel het geven van aanwijzingen</w:t>
      </w:r>
      <w:r>
        <w:rPr>
          <w:szCs w:val="18"/>
        </w:rPr>
        <w:t xml:space="preserve"> voor de accountant</w:t>
      </w:r>
      <w:r w:rsidRPr="00B41D9C">
        <w:rPr>
          <w:szCs w:val="18"/>
        </w:rPr>
        <w:t xml:space="preserve"> </w:t>
      </w:r>
      <w:r w:rsidRPr="000A1F34">
        <w:rPr>
          <w:szCs w:val="18"/>
        </w:rPr>
        <w:t>over de reikwijdte en de diepgang van de accountantswerkzaamheden</w:t>
      </w:r>
      <w:r>
        <w:rPr>
          <w:szCs w:val="18"/>
        </w:rPr>
        <w:t xml:space="preserve"> </w:t>
      </w:r>
      <w:r w:rsidRPr="000A1F34">
        <w:rPr>
          <w:szCs w:val="18"/>
        </w:rPr>
        <w:t xml:space="preserve">op de door de aanvrager bij </w:t>
      </w:r>
      <w:r w:rsidRPr="008316C0">
        <w:rPr>
          <w:szCs w:val="18"/>
        </w:rPr>
        <w:t xml:space="preserve">het ministerie van </w:t>
      </w:r>
      <w:r>
        <w:rPr>
          <w:szCs w:val="18"/>
        </w:rPr>
        <w:t>Klimaat en Groene Groei (KGG)</w:t>
      </w:r>
      <w:r w:rsidRPr="000A1F34">
        <w:rPr>
          <w:szCs w:val="18"/>
        </w:rPr>
        <w:t xml:space="preserve"> in</w:t>
      </w:r>
      <w:r w:rsidRPr="0065111C">
        <w:rPr>
          <w:szCs w:val="18"/>
        </w:rPr>
        <w:t xml:space="preserve"> te dienen gegevens voor de </w:t>
      </w:r>
      <w:r w:rsidRPr="00745A05">
        <w:rPr>
          <w:szCs w:val="18"/>
        </w:rPr>
        <w:t>‘</w:t>
      </w:r>
      <w:r w:rsidRPr="00645A13">
        <w:rPr>
          <w:szCs w:val="18"/>
        </w:rPr>
        <w:t>Informatieverplichtingen subsidieaanvraag</w:t>
      </w:r>
      <w:r w:rsidRPr="00745A05">
        <w:rPr>
          <w:szCs w:val="18"/>
        </w:rPr>
        <w:t>’</w:t>
      </w:r>
      <w:r>
        <w:rPr>
          <w:szCs w:val="18"/>
        </w:rPr>
        <w:t xml:space="preserve"> (hierna: de aanvraag) die onderdeel zijn van de aanvraag,</w:t>
      </w:r>
      <w:r w:rsidRPr="00077237">
        <w:rPr>
          <w:szCs w:val="18"/>
        </w:rPr>
        <w:t xml:space="preserve"> </w:t>
      </w:r>
      <w:r>
        <w:rPr>
          <w:szCs w:val="18"/>
        </w:rPr>
        <w:t>zoals beschreven in de Regelingstekst</w:t>
      </w:r>
      <w:r w:rsidRPr="0018392A">
        <w:rPr>
          <w:szCs w:val="18"/>
        </w:rPr>
        <w:t xml:space="preserve"> </w:t>
      </w:r>
      <w:r>
        <w:rPr>
          <w:szCs w:val="18"/>
        </w:rPr>
        <w:t>NIKI</w:t>
      </w:r>
      <w:r>
        <w:rPr>
          <w:b/>
          <w:bCs/>
          <w:szCs w:val="18"/>
        </w:rPr>
        <w:t>.</w:t>
      </w:r>
    </w:p>
    <w:p w14:paraId="17449FFA" w14:textId="77777777" w:rsidR="00424DF0" w:rsidRDefault="00424DF0" w:rsidP="00424DF0">
      <w:pPr>
        <w:rPr>
          <w:b/>
          <w:bCs/>
          <w:szCs w:val="18"/>
        </w:rPr>
      </w:pPr>
    </w:p>
    <w:p w14:paraId="3EB9E61A" w14:textId="77777777" w:rsidR="00424DF0" w:rsidRDefault="00424DF0" w:rsidP="00424DF0">
      <w:pPr>
        <w:rPr>
          <w:szCs w:val="18"/>
        </w:rPr>
      </w:pPr>
      <w:r w:rsidRPr="005674A5">
        <w:rPr>
          <w:szCs w:val="18"/>
        </w:rPr>
        <w:t>De accountant voert het onderzoek uit inzake de aanvraag tot subsidie met inachtneming van dit protocol.</w:t>
      </w:r>
    </w:p>
    <w:p w14:paraId="7CBD5AB1" w14:textId="77777777" w:rsidR="00424DF0" w:rsidRDefault="00424DF0" w:rsidP="00424DF0">
      <w:pPr>
        <w:rPr>
          <w:szCs w:val="18"/>
        </w:rPr>
      </w:pPr>
    </w:p>
    <w:p w14:paraId="074D440C" w14:textId="77777777" w:rsidR="00424DF0" w:rsidRDefault="00424DF0" w:rsidP="00424DF0">
      <w:pPr>
        <w:rPr>
          <w:szCs w:val="18"/>
        </w:rPr>
      </w:pPr>
    </w:p>
    <w:p w14:paraId="3A382AB2" w14:textId="77777777" w:rsidR="00424DF0" w:rsidRDefault="00424DF0" w:rsidP="00424DF0">
      <w:pPr>
        <w:rPr>
          <w:szCs w:val="18"/>
        </w:rPr>
      </w:pPr>
      <w:r>
        <w:rPr>
          <w:szCs w:val="18"/>
        </w:rPr>
        <w:br w:type="page"/>
      </w:r>
    </w:p>
    <w:p w14:paraId="17CABA32" w14:textId="77777777" w:rsidR="00424DF0" w:rsidRPr="00DF06F9" w:rsidRDefault="00424DF0" w:rsidP="00424DF0">
      <w:pPr>
        <w:pStyle w:val="Kop1"/>
        <w:rPr>
          <w:lang w:val="nl-NL"/>
        </w:rPr>
      </w:pPr>
      <w:r w:rsidRPr="00DF06F9">
        <w:rPr>
          <w:lang w:val="nl-NL"/>
        </w:rPr>
        <w:lastRenderedPageBreak/>
        <w:t>Achtergrond</w:t>
      </w:r>
    </w:p>
    <w:p w14:paraId="5755C73C" w14:textId="77777777" w:rsidR="00424DF0" w:rsidRDefault="00424DF0" w:rsidP="00424DF0">
      <w:r>
        <w:t>Vanuit de regelingstekst NIKI volgt:</w:t>
      </w:r>
    </w:p>
    <w:p w14:paraId="10C9360C" w14:textId="5AA9026A" w:rsidR="00424DF0" w:rsidRPr="00B03C47" w:rsidRDefault="00424DF0" w:rsidP="00424DF0">
      <w:pPr>
        <w:rPr>
          <w:i/>
          <w:iCs/>
        </w:rPr>
      </w:pPr>
      <w:r w:rsidRPr="00B03C47">
        <w:rPr>
          <w:i/>
          <w:iCs/>
        </w:rPr>
        <w:t>Art 4</w:t>
      </w:r>
      <w:r w:rsidR="00186CD9">
        <w:rPr>
          <w:i/>
          <w:iCs/>
        </w:rPr>
        <w:t>.13.10,</w:t>
      </w:r>
      <w:r w:rsidRPr="00B03C47">
        <w:rPr>
          <w:i/>
          <w:iCs/>
        </w:rPr>
        <w:t xml:space="preserve"> lid 5. De informatie, bedoeld in het tweede lid, aanhef en onderdeel c, sub 2, gaat vergezeld van een rapportage van een accountant op basis van Standaard 3400 van de Nederlandse Beroepsorganisatie van </w:t>
      </w:r>
      <w:r>
        <w:rPr>
          <w:i/>
          <w:iCs/>
        </w:rPr>
        <w:t>A</w:t>
      </w:r>
      <w:r w:rsidRPr="00B03C47">
        <w:rPr>
          <w:i/>
          <w:iCs/>
        </w:rPr>
        <w:t>ccountants.</w:t>
      </w:r>
    </w:p>
    <w:p w14:paraId="122B1765" w14:textId="77777777" w:rsidR="00424DF0" w:rsidRDefault="00424DF0" w:rsidP="00424DF0"/>
    <w:p w14:paraId="1A2D378A" w14:textId="77777777" w:rsidR="00424DF0" w:rsidRDefault="00424DF0" w:rsidP="00424DF0">
      <w:r>
        <w:t>Welke verwijst naar:</w:t>
      </w:r>
    </w:p>
    <w:p w14:paraId="53B8654D" w14:textId="77777777" w:rsidR="00424DF0" w:rsidRPr="00B03C47" w:rsidRDefault="00424DF0" w:rsidP="00424DF0">
      <w:pPr>
        <w:rPr>
          <w:i/>
          <w:iCs/>
        </w:rPr>
      </w:pPr>
      <w:r w:rsidRPr="00B03C47">
        <w:rPr>
          <w:i/>
          <w:iCs/>
        </w:rPr>
        <w:t xml:space="preserve">2. Het projectplan, bedoeld in het eerste lid, onderdeel e, bevat in ieder geval de volgende onderdelen: </w:t>
      </w:r>
    </w:p>
    <w:p w14:paraId="64130F57" w14:textId="77777777" w:rsidR="00424DF0" w:rsidRPr="00B03C47" w:rsidRDefault="00424DF0" w:rsidP="00424DF0">
      <w:pPr>
        <w:rPr>
          <w:i/>
          <w:iCs/>
        </w:rPr>
      </w:pPr>
      <w:r w:rsidRPr="00B03C47">
        <w:rPr>
          <w:i/>
          <w:iCs/>
        </w:rPr>
        <w:t xml:space="preserve">c. een beschrijving van de financiële haalbaarheid van het NIKI-project, inclusief: </w:t>
      </w:r>
    </w:p>
    <w:p w14:paraId="4A406AAD" w14:textId="77777777" w:rsidR="00424DF0" w:rsidRPr="00B03C47" w:rsidRDefault="00424DF0" w:rsidP="00424DF0">
      <w:pPr>
        <w:rPr>
          <w:i/>
          <w:iCs/>
        </w:rPr>
      </w:pPr>
      <w:r w:rsidRPr="00B03C47">
        <w:rPr>
          <w:i/>
          <w:iCs/>
        </w:rPr>
        <w:t xml:space="preserve">1°. een prognose van de productieoutput gedurende tien jaar; </w:t>
      </w:r>
    </w:p>
    <w:p w14:paraId="2449422C" w14:textId="77777777" w:rsidR="00424DF0" w:rsidRPr="00967E30" w:rsidRDefault="00424DF0" w:rsidP="00424DF0">
      <w:pPr>
        <w:rPr>
          <w:i/>
          <w:iCs/>
          <w:u w:val="single"/>
        </w:rPr>
      </w:pPr>
      <w:r w:rsidRPr="00967E30">
        <w:rPr>
          <w:i/>
          <w:iCs/>
          <w:u w:val="single"/>
        </w:rPr>
        <w:t xml:space="preserve">2°. </w:t>
      </w:r>
      <w:bookmarkStart w:id="1" w:name="_Hlk197588068"/>
      <w:r w:rsidRPr="00967E30">
        <w:rPr>
          <w:i/>
          <w:iCs/>
          <w:u w:val="single"/>
        </w:rPr>
        <w:t>een begroting waarin de totale kosten van de subsidiabele activiteiten en de omvang van de gevraagde subsidie zijn opgenomen met daarbij een onderbouwing van de toegepaste referentie en een onderbouwing van de productieoutput van de NIKI-installatie of -installaties, de kostprijs en de marktprijs van de producten, gebruikmakend van de op het moment van indiening van de aanvraag geldende NIKI-rekenmethode; en</w:t>
      </w:r>
      <w:bookmarkEnd w:id="1"/>
    </w:p>
    <w:p w14:paraId="297C44DD" w14:textId="77777777" w:rsidR="00424DF0" w:rsidRPr="00B03C47" w:rsidRDefault="00424DF0" w:rsidP="00424DF0">
      <w:pPr>
        <w:rPr>
          <w:i/>
          <w:iCs/>
        </w:rPr>
      </w:pPr>
      <w:r w:rsidRPr="004F6A3D">
        <w:rPr>
          <w:i/>
          <w:iCs/>
        </w:rPr>
        <w:t>3°. informatie over de wijze waarop de aanvrager het eigen aandeel in de projectkosten financiert;</w:t>
      </w:r>
    </w:p>
    <w:p w14:paraId="1F6A9293" w14:textId="77777777" w:rsidR="00424DF0" w:rsidRDefault="00424DF0" w:rsidP="00424DF0"/>
    <w:p w14:paraId="5685E565" w14:textId="77777777" w:rsidR="00424DF0" w:rsidRDefault="00424DF0" w:rsidP="00424DF0">
      <w:r w:rsidRPr="00AA5EEC">
        <w:t xml:space="preserve">Het </w:t>
      </w:r>
      <w:r>
        <w:t xml:space="preserve">uit te voeren </w:t>
      </w:r>
      <w:r w:rsidRPr="00AA5EEC">
        <w:t xml:space="preserve">onderzoek en de rapportage </w:t>
      </w:r>
      <w:r>
        <w:t>ziet toe op de bovengenoemde onderdelen onder</w:t>
      </w:r>
      <w:r w:rsidRPr="00AA5EEC">
        <w:t xml:space="preserve"> 2°.</w:t>
      </w:r>
      <w:r>
        <w:t xml:space="preserve"> </w:t>
      </w:r>
    </w:p>
    <w:p w14:paraId="69BE4548" w14:textId="77777777" w:rsidR="00424DF0" w:rsidRDefault="00424DF0" w:rsidP="00424DF0"/>
    <w:p w14:paraId="4374C315" w14:textId="77777777" w:rsidR="00424DF0" w:rsidRPr="001F084F" w:rsidRDefault="00424DF0" w:rsidP="00424DF0">
      <w:pPr>
        <w:rPr>
          <w:rFonts w:cs="Arial"/>
          <w:b/>
          <w:bCs/>
          <w:sz w:val="26"/>
          <w:szCs w:val="26"/>
        </w:rPr>
      </w:pPr>
      <w:r>
        <w:t xml:space="preserve">In het kader van dit onderzoek wordt ter verduidelijking gesteld dat, indien de gevraagde subsidie afwijkt van de benodigde subsidie, enkel de benodigde subsidie geëvalueerd hoeft te worden. Het beoordelen van het bod is dus expliciet uitgesloten van deze opdracht. </w:t>
      </w:r>
    </w:p>
    <w:p w14:paraId="716CD3FE" w14:textId="77777777" w:rsidR="00424DF0" w:rsidRDefault="00424DF0" w:rsidP="00424DF0"/>
    <w:p w14:paraId="770DAF88" w14:textId="77777777" w:rsidR="00424DF0" w:rsidRDefault="00424DF0" w:rsidP="00424DF0">
      <w:r>
        <w:t>Uiteindelijk resulteert het onderzoek in een rapportage met:</w:t>
      </w:r>
    </w:p>
    <w:p w14:paraId="6313E2C6" w14:textId="77777777" w:rsidR="00424DF0" w:rsidRPr="00DC6B10" w:rsidRDefault="00424DF0" w:rsidP="00424DF0">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pPr>
      <w:r w:rsidRPr="00DC6B10">
        <w:t>een negatief dan wel positief geformuleerde assurance mededeling met betrekking tot de vraag of de veronderstellingen een redelijke basis vormen voor de toekomstgerichte financiële informatie;</w:t>
      </w:r>
    </w:p>
    <w:p w14:paraId="0CEFB534" w14:textId="77777777" w:rsidR="00424DF0" w:rsidRDefault="00424DF0" w:rsidP="00424DF0">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pPr>
      <w:r w:rsidRPr="00DC6B10">
        <w:t>een oordeel in welke mate de toekomstgerichte financiële informatie op een aanvaardbare wijze gebaseerd is op de als uitgangspunt gekozen veronderstellingen en de presentatie ervan in overeenstemming is met de van toepassing zijnde grondslagen;</w:t>
      </w:r>
    </w:p>
    <w:p w14:paraId="6DA922CF" w14:textId="77777777" w:rsidR="00424DF0" w:rsidRPr="001F084F" w:rsidRDefault="00424DF0" w:rsidP="00424DF0">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pPr>
    </w:p>
    <w:p w14:paraId="63073540" w14:textId="77777777" w:rsidR="00424DF0" w:rsidRPr="00DF06F9" w:rsidRDefault="00424DF0" w:rsidP="00424DF0">
      <w:pPr>
        <w:pStyle w:val="Kop1"/>
        <w:rPr>
          <w:szCs w:val="18"/>
          <w:lang w:val="nl-NL"/>
        </w:rPr>
      </w:pPr>
      <w:r w:rsidRPr="00DF06F9">
        <w:rPr>
          <w:lang w:val="nl-NL"/>
        </w:rPr>
        <w:t xml:space="preserve">Uitgangspunten </w:t>
      </w:r>
    </w:p>
    <w:p w14:paraId="293CFC13" w14:textId="77777777" w:rsidR="008840D4" w:rsidRDefault="008840D4" w:rsidP="00424DF0">
      <w:pPr>
        <w:rPr>
          <w:rStyle w:val="Kop2Char"/>
        </w:rPr>
      </w:pPr>
    </w:p>
    <w:p w14:paraId="0C8B2242" w14:textId="77777777" w:rsidR="008840D4" w:rsidRDefault="00424DF0" w:rsidP="00424DF0">
      <w:pPr>
        <w:rPr>
          <w:szCs w:val="18"/>
        </w:rPr>
      </w:pPr>
      <w:r w:rsidRPr="00424DF0">
        <w:rPr>
          <w:rStyle w:val="Kop2Char"/>
        </w:rPr>
        <w:t>Object:</w:t>
      </w:r>
      <w:r>
        <w:rPr>
          <w:szCs w:val="18"/>
        </w:rPr>
        <w:t xml:space="preserve"> </w:t>
      </w:r>
    </w:p>
    <w:p w14:paraId="2692BC48" w14:textId="2811C286" w:rsidR="00424DF0" w:rsidRDefault="00424DF0" w:rsidP="00424DF0">
      <w:pPr>
        <w:rPr>
          <w:szCs w:val="18"/>
        </w:rPr>
      </w:pPr>
      <w:r>
        <w:rPr>
          <w:szCs w:val="18"/>
        </w:rPr>
        <w:t xml:space="preserve">Het object </w:t>
      </w:r>
      <w:r w:rsidRPr="00AD0FE2">
        <w:rPr>
          <w:szCs w:val="18"/>
        </w:rPr>
        <w:t xml:space="preserve">is </w:t>
      </w:r>
      <w:r>
        <w:rPr>
          <w:szCs w:val="18"/>
        </w:rPr>
        <w:t xml:space="preserve">het </w:t>
      </w:r>
      <w:r w:rsidRPr="00AD0FE2">
        <w:rPr>
          <w:i/>
          <w:iCs/>
          <w:szCs w:val="18"/>
        </w:rPr>
        <w:t>NIKI rekenmodel subsidie,</w:t>
      </w:r>
      <w:r w:rsidRPr="00612EE6">
        <w:rPr>
          <w:szCs w:val="18"/>
        </w:rPr>
        <w:t xml:space="preserve"> zoals beschreven in het projectplan, die</w:t>
      </w:r>
      <w:r>
        <w:rPr>
          <w:szCs w:val="18"/>
        </w:rPr>
        <w:t xml:space="preserve"> opgesteld dient te worden in overeenstemming met </w:t>
      </w:r>
      <w:r w:rsidRPr="00424DF0">
        <w:rPr>
          <w:szCs w:val="18"/>
        </w:rPr>
        <w:t>de NIKI-rekenmethode, zoals opgenomen in bijlage 4.</w:t>
      </w:r>
      <w:r w:rsidR="00186CD9">
        <w:rPr>
          <w:szCs w:val="18"/>
        </w:rPr>
        <w:t>13</w:t>
      </w:r>
      <w:r w:rsidRPr="00424DF0">
        <w:rPr>
          <w:szCs w:val="18"/>
        </w:rPr>
        <w:t>.3 bij de NIKI-regelingstekst.</w:t>
      </w:r>
    </w:p>
    <w:p w14:paraId="664DDC70" w14:textId="77777777" w:rsidR="00424DF0" w:rsidRDefault="00424DF0" w:rsidP="00424DF0">
      <w:pPr>
        <w:rPr>
          <w:szCs w:val="18"/>
        </w:rPr>
      </w:pPr>
      <w:r>
        <w:rPr>
          <w:szCs w:val="18"/>
        </w:rPr>
        <w:t xml:space="preserve">Het betreft hier alle tabbladen met uitzondering van door RVO voorgeschreven parameters (prijspaden, disconteringsvoeten etc). Deze laatste </w:t>
      </w:r>
      <w:r w:rsidRPr="001A665D">
        <w:rPr>
          <w:szCs w:val="18"/>
        </w:rPr>
        <w:t>vallen buiten het onderzoek</w:t>
      </w:r>
      <w:r>
        <w:rPr>
          <w:szCs w:val="18"/>
        </w:rPr>
        <w:t xml:space="preserve"> en</w:t>
      </w:r>
      <w:r w:rsidRPr="001A665D">
        <w:rPr>
          <w:szCs w:val="18"/>
        </w:rPr>
        <w:t xml:space="preserve"> zijn opgenomen in het tabblad</w:t>
      </w:r>
      <w:r>
        <w:rPr>
          <w:szCs w:val="18"/>
        </w:rPr>
        <w:t xml:space="preserve"> -</w:t>
      </w:r>
      <w:r w:rsidRPr="001A665D">
        <w:rPr>
          <w:szCs w:val="18"/>
        </w:rPr>
        <w:t>vastgestelde parameters</w:t>
      </w:r>
      <w:r>
        <w:rPr>
          <w:szCs w:val="18"/>
        </w:rPr>
        <w:t>-.</w:t>
      </w:r>
    </w:p>
    <w:p w14:paraId="540E9D10" w14:textId="77777777" w:rsidR="00424DF0" w:rsidRDefault="00424DF0" w:rsidP="00424DF0">
      <w:pPr>
        <w:rPr>
          <w:szCs w:val="18"/>
        </w:rPr>
      </w:pPr>
    </w:p>
    <w:p w14:paraId="3CAD19F5" w14:textId="77777777" w:rsidR="008840D4" w:rsidRDefault="00424DF0" w:rsidP="00424DF0">
      <w:pPr>
        <w:rPr>
          <w:szCs w:val="18"/>
        </w:rPr>
      </w:pPr>
      <w:r w:rsidRPr="00424DF0">
        <w:rPr>
          <w:rStyle w:val="Kop2Char"/>
        </w:rPr>
        <w:t>Reikwijdte en diepgang:</w:t>
      </w:r>
      <w:r>
        <w:rPr>
          <w:szCs w:val="18"/>
        </w:rPr>
        <w:t xml:space="preserve"> </w:t>
      </w:r>
    </w:p>
    <w:p w14:paraId="4FAC49A0" w14:textId="26561ED0" w:rsidR="00424DF0" w:rsidRDefault="00424DF0" w:rsidP="00424DF0">
      <w:pPr>
        <w:rPr>
          <w:szCs w:val="18"/>
        </w:rPr>
      </w:pPr>
      <w:r>
        <w:rPr>
          <w:szCs w:val="18"/>
        </w:rPr>
        <w:t>De reikwijdte en diepgang is conform standaard 3400.</w:t>
      </w:r>
    </w:p>
    <w:p w14:paraId="1F915EA9" w14:textId="77777777" w:rsidR="00424DF0" w:rsidRDefault="00424DF0" w:rsidP="00424DF0">
      <w:pPr>
        <w:rPr>
          <w:szCs w:val="18"/>
        </w:rPr>
      </w:pPr>
    </w:p>
    <w:p w14:paraId="6F9E2D9C" w14:textId="77777777" w:rsidR="008840D4" w:rsidRDefault="00424DF0" w:rsidP="008840D4">
      <w:pPr>
        <w:pStyle w:val="Kop2"/>
      </w:pPr>
      <w:r w:rsidRPr="006708BE">
        <w:t>Vereisten</w:t>
      </w:r>
      <w:r w:rsidR="008840D4">
        <w:t xml:space="preserve">: </w:t>
      </w:r>
    </w:p>
    <w:p w14:paraId="5DD2317F" w14:textId="57C9B128" w:rsidR="00424DF0" w:rsidRPr="008840D4" w:rsidRDefault="00424DF0" w:rsidP="008840D4">
      <w:pPr>
        <w:pStyle w:val="Kop2"/>
        <w:rPr>
          <w:rFonts w:ascii="Calibri" w:eastAsia="Calibri" w:hAnsi="Calibri" w:cs="Calibri"/>
          <w:color w:val="000000"/>
          <w:sz w:val="24"/>
          <w:szCs w:val="18"/>
        </w:rPr>
      </w:pPr>
      <w:r w:rsidRPr="008840D4">
        <w:rPr>
          <w:rFonts w:ascii="Calibri" w:eastAsia="Calibri" w:hAnsi="Calibri" w:cs="Calibri"/>
          <w:color w:val="000000"/>
          <w:sz w:val="24"/>
          <w:szCs w:val="18"/>
        </w:rPr>
        <w:t>Onderstaande vereisten zijn van toepassing op het onderzoek:</w:t>
      </w:r>
    </w:p>
    <w:p w14:paraId="63C1BFD5" w14:textId="77777777" w:rsidR="00424DF0" w:rsidRDefault="00424DF0" w:rsidP="00424DF0">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r>
        <w:rPr>
          <w:szCs w:val="18"/>
        </w:rPr>
        <w:t>Het onderzoek dient conform de NBA standaard 3400 -</w:t>
      </w:r>
      <w:r w:rsidRPr="005E4343">
        <w:rPr>
          <w:szCs w:val="18"/>
        </w:rPr>
        <w:t>Onderzoek van toekomstgerichte financiële informatie</w:t>
      </w:r>
      <w:r>
        <w:rPr>
          <w:szCs w:val="18"/>
        </w:rPr>
        <w:t>-</w:t>
      </w:r>
      <w:r w:rsidRPr="005E4343">
        <w:rPr>
          <w:szCs w:val="18"/>
        </w:rPr>
        <w:t xml:space="preserve"> </w:t>
      </w:r>
      <w:r>
        <w:rPr>
          <w:szCs w:val="18"/>
        </w:rPr>
        <w:t>plaats te vinden.</w:t>
      </w:r>
    </w:p>
    <w:p w14:paraId="1AE94165" w14:textId="77777777" w:rsidR="00424DF0" w:rsidRDefault="00424DF0" w:rsidP="00424DF0">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r w:rsidRPr="00316E1D">
        <w:rPr>
          <w:szCs w:val="18"/>
        </w:rPr>
        <w:t xml:space="preserve">Het onderzoek dient </w:t>
      </w:r>
      <w:r>
        <w:rPr>
          <w:szCs w:val="18"/>
        </w:rPr>
        <w:t>te worden uitgevoerd</w:t>
      </w:r>
      <w:r w:rsidRPr="00316E1D">
        <w:rPr>
          <w:szCs w:val="18"/>
        </w:rPr>
        <w:t xml:space="preserve"> door een </w:t>
      </w:r>
      <w:r w:rsidRPr="009B61CC">
        <w:rPr>
          <w:szCs w:val="18"/>
        </w:rPr>
        <w:t>accountant</w:t>
      </w:r>
      <w:r w:rsidRPr="00316E1D">
        <w:rPr>
          <w:szCs w:val="18"/>
        </w:rPr>
        <w:t xml:space="preserve"> conform de begripsbepaling van de regelingstekst.</w:t>
      </w:r>
    </w:p>
    <w:p w14:paraId="017E9291" w14:textId="77777777" w:rsidR="00424DF0" w:rsidRDefault="00424DF0" w:rsidP="00424DF0">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r>
        <w:rPr>
          <w:szCs w:val="18"/>
        </w:rPr>
        <w:t>Dit mag geen interne accountant zijn om de onafhankelijkheid en objectiviteit te borgen. Het betreft een onderzoek voor externe toepassing.</w:t>
      </w:r>
    </w:p>
    <w:p w14:paraId="6FC9741A" w14:textId="77777777" w:rsidR="00424DF0" w:rsidRPr="00316E1D" w:rsidRDefault="00424DF0" w:rsidP="00424DF0">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r>
        <w:rPr>
          <w:szCs w:val="18"/>
        </w:rPr>
        <w:t>De aanvrager is opdrachtgever voor het onderzoek.</w:t>
      </w:r>
    </w:p>
    <w:p w14:paraId="1E7808D4" w14:textId="77777777" w:rsidR="00424DF0" w:rsidRDefault="00424DF0" w:rsidP="00424DF0">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r>
        <w:rPr>
          <w:szCs w:val="18"/>
        </w:rPr>
        <w:t xml:space="preserve">Het onderzoek wordt uitgevoerd in het kader van de NIKI-aanvraag en heeft betrekking </w:t>
      </w:r>
      <w:r w:rsidRPr="00CA3065">
        <w:rPr>
          <w:szCs w:val="18"/>
        </w:rPr>
        <w:t>op het object.</w:t>
      </w:r>
    </w:p>
    <w:p w14:paraId="7DF763EF" w14:textId="5F19ECC6" w:rsidR="00424DF0" w:rsidRDefault="00424DF0" w:rsidP="00424DF0">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r>
        <w:rPr>
          <w:szCs w:val="18"/>
        </w:rPr>
        <w:t xml:space="preserve">De accountant voegt bij het rapport een gewaarmerkt exemplaar van het </w:t>
      </w:r>
      <w:r w:rsidR="008831B0">
        <w:rPr>
          <w:szCs w:val="18"/>
        </w:rPr>
        <w:t>onderzoeks</w:t>
      </w:r>
      <w:r>
        <w:rPr>
          <w:szCs w:val="18"/>
        </w:rPr>
        <w:t>-object toe.</w:t>
      </w:r>
    </w:p>
    <w:p w14:paraId="6ACDCF7E" w14:textId="77777777" w:rsidR="00424DF0" w:rsidRDefault="00424DF0" w:rsidP="00424DF0">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240" w:lineRule="atLeast"/>
        <w:contextualSpacing/>
        <w:rPr>
          <w:szCs w:val="18"/>
        </w:rPr>
      </w:pPr>
    </w:p>
    <w:p w14:paraId="16C1CD80" w14:textId="77777777" w:rsidR="00424DF0" w:rsidRPr="00DF06F9" w:rsidRDefault="00424DF0" w:rsidP="00424DF0">
      <w:pPr>
        <w:pStyle w:val="Kop1"/>
        <w:rPr>
          <w:lang w:val="nl-NL"/>
        </w:rPr>
      </w:pPr>
      <w:r w:rsidRPr="00DF06F9">
        <w:rPr>
          <w:lang w:val="nl-NL"/>
        </w:rPr>
        <w:t>Vormgeving onderzoek</w:t>
      </w:r>
    </w:p>
    <w:p w14:paraId="23F55CC7" w14:textId="77777777" w:rsidR="00424DF0" w:rsidRDefault="00424DF0" w:rsidP="00424DF0">
      <w:r>
        <w:rPr>
          <w:szCs w:val="18"/>
        </w:rPr>
        <w:t>Het onderzoek en de rapportering dient vormgegeven te worden in overeenstemming met de vereisten zoals opgenomen in de Standaard 3400. RVO stelt geen modelrapport beschikbaar.</w:t>
      </w:r>
      <w:r w:rsidRPr="002A7F25">
        <w:t xml:space="preserve"> </w:t>
      </w:r>
    </w:p>
    <w:p w14:paraId="59611ED6" w14:textId="77777777" w:rsidR="00424DF0" w:rsidRDefault="00424DF0" w:rsidP="00424DF0"/>
    <w:p w14:paraId="16F4F764" w14:textId="047ACDDE" w:rsidR="00424DF0" w:rsidRPr="00DF06F9" w:rsidRDefault="00011FCF" w:rsidP="00424DF0">
      <w:pPr>
        <w:pStyle w:val="Kop1"/>
        <w:rPr>
          <w:lang w:val="nl-NL"/>
        </w:rPr>
      </w:pPr>
      <w:r>
        <w:rPr>
          <w:lang w:val="nl-NL"/>
        </w:rPr>
        <w:t>A</w:t>
      </w:r>
      <w:r w:rsidR="00424DF0" w:rsidRPr="00DF06F9">
        <w:rPr>
          <w:lang w:val="nl-NL"/>
        </w:rPr>
        <w:t>anwijzingen reikwijdte en diepgang</w:t>
      </w:r>
    </w:p>
    <w:p w14:paraId="3C40D75A" w14:textId="77777777" w:rsidR="00424DF0" w:rsidRDefault="00424DF0" w:rsidP="00424DF0">
      <w:pPr>
        <w:rPr>
          <w:szCs w:val="18"/>
        </w:rPr>
      </w:pPr>
      <w:r>
        <w:rPr>
          <w:szCs w:val="18"/>
        </w:rPr>
        <w:t>De accountant stelt ten minste vast dat:</w:t>
      </w:r>
    </w:p>
    <w:p w14:paraId="1E925BA8" w14:textId="77777777" w:rsidR="00424DF0" w:rsidRDefault="00424DF0" w:rsidP="00424DF0">
      <w:pPr>
        <w:rPr>
          <w:szCs w:val="18"/>
        </w:rPr>
      </w:pPr>
    </w:p>
    <w:p w14:paraId="6FD30C34" w14:textId="67F770F5" w:rsidR="00424DF0" w:rsidRPr="007D2F15" w:rsidRDefault="00424DF0" w:rsidP="00424DF0">
      <w:pPr>
        <w:rPr>
          <w:b/>
          <w:bCs/>
        </w:rPr>
      </w:pPr>
      <w:r w:rsidRPr="007D2F15">
        <w:rPr>
          <w:b/>
          <w:bCs/>
        </w:rPr>
        <w:t xml:space="preserve">Ten aanzien van: begroting waarin de totale kosten van de subsidiabele activiteiten zijn opgenomen, </w:t>
      </w:r>
      <w:r w:rsidR="008831B0">
        <w:rPr>
          <w:b/>
          <w:bCs/>
        </w:rPr>
        <w:t>onderzoekt</w:t>
      </w:r>
      <w:r w:rsidRPr="007D2F15">
        <w:rPr>
          <w:b/>
          <w:bCs/>
        </w:rPr>
        <w:t xml:space="preserve"> de accountant of:</w:t>
      </w:r>
    </w:p>
    <w:p w14:paraId="0E880E5F" w14:textId="765146E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de aannames en bewijsstukken van de CAPEX</w:t>
      </w:r>
      <w:r>
        <w:rPr>
          <w:szCs w:val="18"/>
        </w:rPr>
        <w:t xml:space="preserve"> (</w:t>
      </w:r>
      <w:r w:rsidRPr="00424DF0">
        <w:rPr>
          <w:szCs w:val="18"/>
        </w:rPr>
        <w:t>Capital expenditures</w:t>
      </w:r>
      <w:r>
        <w:rPr>
          <w:szCs w:val="18"/>
        </w:rPr>
        <w:t>)</w:t>
      </w:r>
      <w:r w:rsidRPr="007D2F15">
        <w:rPr>
          <w:szCs w:val="18"/>
        </w:rPr>
        <w:t xml:space="preserve"> correct verwerkt zijn in het </w:t>
      </w:r>
      <w:r w:rsidRPr="007D2F15">
        <w:rPr>
          <w:i/>
          <w:iCs/>
          <w:szCs w:val="18"/>
        </w:rPr>
        <w:t>NIKI rekenmodel subsidie</w:t>
      </w:r>
      <w:r w:rsidRPr="007D2F15">
        <w:rPr>
          <w:szCs w:val="18"/>
        </w:rPr>
        <w:t xml:space="preserve">. Hierbij </w:t>
      </w:r>
      <w:r w:rsidR="008831B0">
        <w:rPr>
          <w:szCs w:val="18"/>
        </w:rPr>
        <w:t>onderzoekt</w:t>
      </w:r>
      <w:r w:rsidRPr="007D2F15">
        <w:rPr>
          <w:szCs w:val="18"/>
        </w:rPr>
        <w:t xml:space="preserve"> de accountant ten minste of:</w:t>
      </w:r>
    </w:p>
    <w:p w14:paraId="149C0025" w14:textId="49A549FC" w:rsidR="00424DF0" w:rsidRPr="007D2F15" w:rsidRDefault="00424DF0" w:rsidP="00424DF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het overzicht van bewijsstukken in de begroting juist en volledig</w:t>
      </w:r>
      <w:r w:rsidR="000853A3">
        <w:rPr>
          <w:szCs w:val="18"/>
        </w:rPr>
        <w:t xml:space="preserve"> is</w:t>
      </w:r>
      <w:r w:rsidRPr="007D2F15">
        <w:rPr>
          <w:szCs w:val="18"/>
        </w:rPr>
        <w:t>;</w:t>
      </w:r>
    </w:p>
    <w:p w14:paraId="3FBE56AB" w14:textId="77777777" w:rsidR="00424DF0" w:rsidRPr="007D2F15" w:rsidRDefault="00424DF0" w:rsidP="00424DF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voor onderdelen zonder bewijsstuk: de aannames en bronnen in lijn zijn met de opgave investeringskosten van de aanvrager;</w:t>
      </w:r>
    </w:p>
    <w:p w14:paraId="040FC60D" w14:textId="77777777" w:rsidR="00424DF0" w:rsidRPr="007D2F15" w:rsidRDefault="00424DF0" w:rsidP="00424DF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 xml:space="preserve">bewijsstukken en aannames </w:t>
      </w:r>
      <w:r>
        <w:rPr>
          <w:szCs w:val="18"/>
        </w:rPr>
        <w:t>navolgbaar</w:t>
      </w:r>
      <w:r w:rsidRPr="007D2F15">
        <w:rPr>
          <w:szCs w:val="18"/>
        </w:rPr>
        <w:t xml:space="preserve"> zijn doorgerekend.</w:t>
      </w:r>
    </w:p>
    <w:p w14:paraId="6C2D91B9"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 xml:space="preserve">de CAPEX-bedragen voor investeringen in aansluitingen op externe verbindingen, infrastructuur en gebouwen, die kunnen worden toegerekend aan het NIKI-project, conform de </w:t>
      </w:r>
      <w:r w:rsidRPr="007D2F15">
        <w:rPr>
          <w:i/>
          <w:iCs/>
          <w:szCs w:val="18"/>
        </w:rPr>
        <w:t>Rekenmethode voor subsidieberekening NIKI</w:t>
      </w:r>
      <w:r w:rsidRPr="007D2F15">
        <w:rPr>
          <w:szCs w:val="18"/>
        </w:rPr>
        <w:t xml:space="preserve"> zijn opgevoerd. </w:t>
      </w:r>
    </w:p>
    <w:p w14:paraId="2B3C5E78"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de levensduur van deze investeringen in lijn met vigerend bedrijfsbeleid zijn toegepast.</w:t>
      </w:r>
    </w:p>
    <w:p w14:paraId="4600E99A" w14:textId="77826E54"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een gangbaar allocatiemechanisme is gehanteerd voor gedeelde uitgaven/kosten voor zowel CAPEX als OPEX</w:t>
      </w:r>
      <w:r>
        <w:rPr>
          <w:szCs w:val="18"/>
        </w:rPr>
        <w:t xml:space="preserve"> (</w:t>
      </w:r>
      <w:r w:rsidRPr="00424DF0">
        <w:rPr>
          <w:szCs w:val="18"/>
        </w:rPr>
        <w:t>Operating Expenditures</w:t>
      </w:r>
      <w:r>
        <w:rPr>
          <w:szCs w:val="18"/>
        </w:rPr>
        <w:t>)</w:t>
      </w:r>
      <w:r w:rsidRPr="007D2F15">
        <w:rPr>
          <w:szCs w:val="18"/>
        </w:rPr>
        <w:t xml:space="preserve">, en de uitkomsten correct zijn toegepast in het </w:t>
      </w:r>
      <w:r w:rsidRPr="007D2F15">
        <w:rPr>
          <w:i/>
          <w:iCs/>
          <w:szCs w:val="18"/>
        </w:rPr>
        <w:t>NIKI rekenmodel subsidie</w:t>
      </w:r>
      <w:r w:rsidRPr="007D2F15">
        <w:rPr>
          <w:szCs w:val="18"/>
        </w:rPr>
        <w:t>.</w:t>
      </w:r>
    </w:p>
    <w:p w14:paraId="2C0E81C7" w14:textId="509F0712"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lastRenderedPageBreak/>
        <w:t xml:space="preserve">aannames en bewijsstukken van OPEX correct verwerkt zijn in het </w:t>
      </w:r>
      <w:r w:rsidRPr="007D2F15">
        <w:rPr>
          <w:i/>
          <w:iCs/>
          <w:szCs w:val="18"/>
        </w:rPr>
        <w:t>NIKI rekenmodel subsidie</w:t>
      </w:r>
      <w:r w:rsidRPr="007D2F15">
        <w:rPr>
          <w:szCs w:val="18"/>
        </w:rPr>
        <w:t xml:space="preserve">. Hierbij </w:t>
      </w:r>
      <w:r w:rsidR="008831B0">
        <w:rPr>
          <w:szCs w:val="18"/>
        </w:rPr>
        <w:t>onderzoekt</w:t>
      </w:r>
      <w:r w:rsidRPr="007D2F15">
        <w:rPr>
          <w:szCs w:val="18"/>
        </w:rPr>
        <w:t xml:space="preserve"> de accountant ten minste of:</w:t>
      </w:r>
    </w:p>
    <w:p w14:paraId="4395780C" w14:textId="77777777" w:rsidR="00424DF0" w:rsidRPr="007D2F15" w:rsidRDefault="00424DF0" w:rsidP="00424DF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de vennootschapsbelasting correct is toegepast;</w:t>
      </w:r>
    </w:p>
    <w:p w14:paraId="582B4C82" w14:textId="77777777" w:rsidR="00424DF0" w:rsidRPr="007D2F15" w:rsidRDefault="00424DF0" w:rsidP="00424DF0">
      <w:pPr>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indien van toepassing, de Energie-Investeringsaftrek (EIA) op juiste wijze is verwerkt bij de berekening van de vennootschapsbelasting afdracht.</w:t>
      </w:r>
    </w:p>
    <w:p w14:paraId="10230380" w14:textId="77777777" w:rsidR="00424DF0" w:rsidRPr="007D2F15" w:rsidRDefault="00424DF0" w:rsidP="00424DF0">
      <w:pPr>
        <w:rPr>
          <w:szCs w:val="18"/>
        </w:rPr>
      </w:pPr>
    </w:p>
    <w:p w14:paraId="2A4A0B09" w14:textId="2CDBDEB4" w:rsidR="00424DF0" w:rsidRPr="007D2F15" w:rsidRDefault="00424DF0" w:rsidP="00424DF0">
      <w:pPr>
        <w:rPr>
          <w:b/>
          <w:bCs/>
        </w:rPr>
      </w:pPr>
      <w:r w:rsidRPr="007D2F15">
        <w:rPr>
          <w:b/>
          <w:bCs/>
        </w:rPr>
        <w:t xml:space="preserve">Ten aanzien van: de omvang van de gevraagde subsidie, </w:t>
      </w:r>
      <w:r w:rsidR="008831B0">
        <w:rPr>
          <w:b/>
          <w:bCs/>
        </w:rPr>
        <w:t>onderzoekt</w:t>
      </w:r>
      <w:r w:rsidRPr="007D2F15">
        <w:rPr>
          <w:b/>
          <w:bCs/>
        </w:rPr>
        <w:t xml:space="preserve"> de accountant of:</w:t>
      </w:r>
    </w:p>
    <w:p w14:paraId="75962152" w14:textId="77777777" w:rsidR="00424DF0" w:rsidRPr="007D2F15" w:rsidRDefault="00424DF0" w:rsidP="00424DF0">
      <w:pPr>
        <w:rPr>
          <w:szCs w:val="18"/>
        </w:rPr>
      </w:pPr>
      <w:r w:rsidRPr="007D2F15">
        <w:rPr>
          <w:szCs w:val="18"/>
        </w:rPr>
        <w:t>Ten aanzien van de gehanteerde WACC:</w:t>
      </w:r>
    </w:p>
    <w:p w14:paraId="1B894AD1"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de opgegeven premie van schulden, na optelling bij de risico-vrije rente, in lijn is met de door aanvrager betaalde rente op schulden.</w:t>
      </w:r>
    </w:p>
    <w:p w14:paraId="7D07E97F"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indien wordt afgeweken van de sectorale Beta, hiervoor een gedegen onderbouwing aanwezig is.</w:t>
      </w:r>
    </w:p>
    <w:p w14:paraId="3395A878"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de doorrekening juist is uitgevoerd.</w:t>
      </w:r>
    </w:p>
    <w:p w14:paraId="0F6CDCD6"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de verhouding eigen vermogen/vreemd vermogen correct is toegepast.</w:t>
      </w:r>
    </w:p>
    <w:p w14:paraId="5E60BE07" w14:textId="77777777" w:rsidR="00424DF0" w:rsidRPr="007D2F15" w:rsidRDefault="00424DF0" w:rsidP="00424DF0">
      <w:pPr>
        <w:ind w:left="360"/>
        <w:rPr>
          <w:szCs w:val="18"/>
        </w:rPr>
      </w:pPr>
    </w:p>
    <w:p w14:paraId="40670CE7" w14:textId="77777777" w:rsidR="00424DF0" w:rsidRPr="007D2F15" w:rsidRDefault="00424DF0" w:rsidP="00424DF0">
      <w:pPr>
        <w:rPr>
          <w:b/>
          <w:bCs/>
        </w:rPr>
      </w:pPr>
      <w:r w:rsidRPr="007D2F15">
        <w:rPr>
          <w:b/>
          <w:bCs/>
        </w:rPr>
        <w:t xml:space="preserve">Ten aanzien van: een onderbouwing van de toegepaste referentie en onderbouwing van de productie-output van de NIKI-installatie of </w:t>
      </w:r>
    </w:p>
    <w:p w14:paraId="4C66C525" w14:textId="4E8678E1" w:rsidR="00424DF0" w:rsidRPr="007D2F15" w:rsidRDefault="00424DF0" w:rsidP="00424DF0">
      <w:pPr>
        <w:rPr>
          <w:b/>
          <w:bCs/>
        </w:rPr>
      </w:pPr>
      <w:r w:rsidRPr="007D2F15">
        <w:rPr>
          <w:b/>
          <w:bCs/>
        </w:rPr>
        <w:t xml:space="preserve">-installaties, </w:t>
      </w:r>
      <w:r w:rsidR="00011FCF">
        <w:rPr>
          <w:b/>
          <w:bCs/>
        </w:rPr>
        <w:t>onderzoekt</w:t>
      </w:r>
      <w:r w:rsidRPr="007D2F15">
        <w:rPr>
          <w:b/>
          <w:bCs/>
        </w:rPr>
        <w:t xml:space="preserve"> de accountant of:</w:t>
      </w:r>
    </w:p>
    <w:p w14:paraId="1DA6045F"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 xml:space="preserve">de gehanteerde verwachte jaarlijkse productie-outputs in lijn zijn met de waarden uit </w:t>
      </w:r>
      <w:r w:rsidRPr="007D2F15">
        <w:rPr>
          <w:i/>
          <w:iCs/>
          <w:szCs w:val="18"/>
        </w:rPr>
        <w:t>het NIKI rekenmodel CO2-emissiereductie</w:t>
      </w:r>
      <w:r w:rsidRPr="007D2F15">
        <w:rPr>
          <w:szCs w:val="18"/>
        </w:rPr>
        <w:t>, en in lijn zijn met interne rapportages.</w:t>
      </w:r>
    </w:p>
    <w:p w14:paraId="05026185" w14:textId="77777777" w:rsidR="00424DF0" w:rsidRPr="007D2F15" w:rsidRDefault="00424DF0" w:rsidP="00424DF0">
      <w:pPr>
        <w:rPr>
          <w:b/>
          <w:bCs/>
        </w:rPr>
      </w:pPr>
    </w:p>
    <w:p w14:paraId="4763D6DA" w14:textId="3B5AE00E" w:rsidR="00424DF0" w:rsidRPr="007D2F15" w:rsidRDefault="00424DF0" w:rsidP="00424DF0">
      <w:pPr>
        <w:rPr>
          <w:b/>
          <w:bCs/>
        </w:rPr>
      </w:pPr>
      <w:r w:rsidRPr="007D2F15">
        <w:rPr>
          <w:b/>
          <w:bCs/>
        </w:rPr>
        <w:t xml:space="preserve">Ten aanzien van: de kostprijs en de marktprijs van de producten, </w:t>
      </w:r>
      <w:r w:rsidR="00011FCF">
        <w:rPr>
          <w:b/>
          <w:bCs/>
        </w:rPr>
        <w:t>onderzoekt</w:t>
      </w:r>
      <w:r w:rsidRPr="007D2F15">
        <w:rPr>
          <w:b/>
          <w:bCs/>
        </w:rPr>
        <w:t xml:space="preserve"> de accountant of:</w:t>
      </w:r>
    </w:p>
    <w:p w14:paraId="5C363120" w14:textId="77777777" w:rsidR="00424DF0" w:rsidRPr="007D2F15" w:rsidRDefault="00424DF0" w:rsidP="00424DF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8"/>
        </w:rPr>
      </w:pPr>
      <w:r w:rsidRPr="007D2F15">
        <w:rPr>
          <w:szCs w:val="18"/>
        </w:rPr>
        <w:t xml:space="preserve">de verwachte marktprijzen van de referentieproducten in het </w:t>
      </w:r>
      <w:r w:rsidRPr="007D2F15">
        <w:rPr>
          <w:i/>
          <w:iCs/>
          <w:szCs w:val="18"/>
        </w:rPr>
        <w:t xml:space="preserve">NIKI rekenmodel subsidie </w:t>
      </w:r>
      <w:r w:rsidRPr="007D2F15">
        <w:rPr>
          <w:szCs w:val="18"/>
        </w:rPr>
        <w:t>correct zijn toegepast en in lijn zijn met de interne rapportages.</w:t>
      </w:r>
    </w:p>
    <w:p w14:paraId="260780DA" w14:textId="77777777" w:rsidR="00424DF0" w:rsidRDefault="00424DF0" w:rsidP="00424DF0">
      <w:pPr>
        <w:rPr>
          <w:b/>
          <w:bCs/>
        </w:rPr>
      </w:pPr>
    </w:p>
    <w:p w14:paraId="08E6F813" w14:textId="350B7E00" w:rsidR="00424DF0" w:rsidRDefault="00424DF0" w:rsidP="00424DF0">
      <w:r>
        <w:t xml:space="preserve">Ten aanzien van de vraag in </w:t>
      </w:r>
      <w:r w:rsidRPr="00DC6B10">
        <w:t xml:space="preserve">welke mate de toekomstgerichte financiële informatie </w:t>
      </w:r>
      <w:r>
        <w:t>(</w:t>
      </w:r>
      <w:r>
        <w:rPr>
          <w:i/>
          <w:iCs/>
        </w:rPr>
        <w:t xml:space="preserve">het NIKI rekenmodel subsidie) </w:t>
      </w:r>
      <w:r w:rsidRPr="00DC6B10">
        <w:t>op een aanvaardbare wijze gebaseerd is op de als uitgangspunt</w:t>
      </w:r>
      <w:r>
        <w:t>en</w:t>
      </w:r>
      <w:r w:rsidRPr="00DC6B10">
        <w:t xml:space="preserve"> gekozen veronderstellingen en de presentatie ervan in overeenstemming is met de van toepassing zijnde grondslagen</w:t>
      </w:r>
      <w:r>
        <w:t xml:space="preserve"> zijn in dit protocol geen nadere aanwijzingen ten aanzien van de reikwijdte en diepgang opgenomen. De accountant volgt Standaard 3400.</w:t>
      </w:r>
    </w:p>
    <w:p w14:paraId="1FC7B251" w14:textId="77777777" w:rsidR="00424DF0" w:rsidRPr="00CE542A" w:rsidRDefault="00424DF0" w:rsidP="00424DF0">
      <w:pPr>
        <w:rPr>
          <w:b/>
          <w:bCs/>
        </w:rPr>
      </w:pPr>
    </w:p>
    <w:p w14:paraId="4B1096DB" w14:textId="77777777" w:rsidR="00424DF0" w:rsidRPr="00DF06F9" w:rsidRDefault="00424DF0" w:rsidP="00424DF0">
      <w:pPr>
        <w:pStyle w:val="Kop1"/>
        <w:rPr>
          <w:lang w:val="nl-NL"/>
        </w:rPr>
      </w:pPr>
      <w:r w:rsidRPr="00DF06F9">
        <w:rPr>
          <w:lang w:val="nl-NL"/>
        </w:rPr>
        <w:t>Reviewbeleid</w:t>
      </w:r>
    </w:p>
    <w:p w14:paraId="567829B2" w14:textId="0442493F" w:rsidR="00424DF0" w:rsidRDefault="00011FCF" w:rsidP="00424DF0">
      <w:r>
        <w:t xml:space="preserve">Het ministerie van </w:t>
      </w:r>
      <w:r w:rsidR="00424DF0">
        <w:t xml:space="preserve">KGG (en de RVO die deze regeling in mandaat uitvoert) heeft als subsidieverstrekker te allen tijde de mogelijkheid een review uit te voeren of te laten uitvoeren bij de accountant belast met het onderzoek naar de informatie opgenomen in de aanvraag tot verlening teneinde na te gaan of het onderzoek met inachtneming van de relevante regelgeving van de NBA en </w:t>
      </w:r>
      <w:r w:rsidR="00424DF0" w:rsidRPr="00220300">
        <w:t xml:space="preserve">dit protocol </w:t>
      </w:r>
      <w:r w:rsidR="00424DF0">
        <w:t xml:space="preserve">is uitgevoerd. Deze reviews komen niet in de plaats van andere controles dan wel reviews uitgevoerd door de Algemene Rekenkamer. </w:t>
      </w:r>
    </w:p>
    <w:p w14:paraId="5AE47F35" w14:textId="77777777" w:rsidR="00424DF0" w:rsidRDefault="00424DF0" w:rsidP="00424DF0"/>
    <w:p w14:paraId="0AF10387" w14:textId="77777777" w:rsidR="00424DF0" w:rsidRDefault="00424DF0" w:rsidP="00424DF0">
      <w:r>
        <w:t xml:space="preserve">De accountant belast met het onderzoek en verantwoordelijk voor het verstrekken van het accountantsproduct bij de aanvraag tot verlening stemt er mee in dat de onderzoeksdossiers ten behoeve van bovengenoemde reviews integraal aan de reviewers ter inzage worden gegeven. Voorts zal de accountant, schriftelijk dan wel mondeling, alle </w:t>
      </w:r>
      <w:r>
        <w:lastRenderedPageBreak/>
        <w:t>gevraagde gegevens verstrekken die in het kader van voornoemde reviews worden opgevraagd. In dit kader wordt verwezen naar de bepalingen in hoofdstuk 6, paragraaf 1, van de Comptabiliteitswet 2016.</w:t>
      </w:r>
    </w:p>
    <w:p w14:paraId="5B20FB67" w14:textId="77777777" w:rsidR="00424DF0" w:rsidRPr="00DF06F9" w:rsidRDefault="00424DF0" w:rsidP="00424DF0">
      <w:pPr>
        <w:pStyle w:val="Kop1"/>
        <w:rPr>
          <w:lang w:val="nl-NL"/>
        </w:rPr>
      </w:pPr>
      <w:r w:rsidRPr="00DF06F9">
        <w:rPr>
          <w:lang w:val="nl-NL"/>
        </w:rPr>
        <w:t>Vragen</w:t>
      </w:r>
    </w:p>
    <w:p w14:paraId="1B598273" w14:textId="77777777" w:rsidR="00424DF0" w:rsidRDefault="00424DF0" w:rsidP="00424DF0">
      <w:r>
        <w:t>Subsidieaanvragers</w:t>
      </w:r>
      <w:r w:rsidRPr="00BC2456">
        <w:t xml:space="preserve"> en accountants kunnen zich met hun vragen over de regeling en dit protocol melden bij RVO. </w:t>
      </w:r>
    </w:p>
    <w:bookmarkEnd w:id="0"/>
    <w:sectPr w:rsidR="00424DF0" w:rsidSect="00A14676">
      <w:headerReference w:type="default" r:id="rId11"/>
      <w:footerReference w:type="even" r:id="rId12"/>
      <w:footerReference w:type="default" r:id="rId13"/>
      <w:footerReference w:type="first" r:id="rId14"/>
      <w:pgSz w:w="11906" w:h="16838"/>
      <w:pgMar w:top="22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C9BB4" w14:textId="77777777" w:rsidR="00C860CC" w:rsidRDefault="00C860CC" w:rsidP="00B14349">
      <w:r>
        <w:separator/>
      </w:r>
    </w:p>
  </w:endnote>
  <w:endnote w:type="continuationSeparator" w:id="0">
    <w:p w14:paraId="31DB18C7" w14:textId="77777777" w:rsidR="00C860CC" w:rsidRDefault="00C860CC"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6394" w14:textId="60AF1791" w:rsidR="00AB6FD8" w:rsidRDefault="00AB6F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82F6" w14:textId="3ACCDFB6" w:rsidR="005F5CBF" w:rsidRDefault="00E27A35">
    <w:pPr>
      <w:pStyle w:val="Voettekst"/>
      <w:jc w:val="right"/>
    </w:pPr>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r w:rsidR="005F5CBF">
              <w:t xml:space="preserve">Pagina </w:t>
            </w:r>
            <w:r w:rsidR="005F5CBF">
              <w:rPr>
                <w:b/>
                <w:bCs/>
              </w:rPr>
              <w:fldChar w:fldCharType="begin"/>
            </w:r>
            <w:r w:rsidR="005F5CBF">
              <w:rPr>
                <w:b/>
                <w:bCs/>
              </w:rPr>
              <w:instrText>PAGE</w:instrText>
            </w:r>
            <w:r w:rsidR="005F5CBF">
              <w:rPr>
                <w:b/>
                <w:bCs/>
              </w:rPr>
              <w:fldChar w:fldCharType="separate"/>
            </w:r>
            <w:r w:rsidR="005F5CBF">
              <w:rPr>
                <w:b/>
                <w:bCs/>
                <w:noProof/>
              </w:rPr>
              <w:t>1</w:t>
            </w:r>
            <w:r w:rsidR="005F5CBF">
              <w:rPr>
                <w:b/>
                <w:bCs/>
              </w:rPr>
              <w:fldChar w:fldCharType="end"/>
            </w:r>
            <w:r w:rsidR="005F5CBF">
              <w:t xml:space="preserve"> van </w:t>
            </w:r>
            <w:r w:rsidR="005F5CBF">
              <w:rPr>
                <w:b/>
                <w:bCs/>
              </w:rPr>
              <w:fldChar w:fldCharType="begin"/>
            </w:r>
            <w:r w:rsidR="005F5CBF">
              <w:rPr>
                <w:b/>
                <w:bCs/>
              </w:rPr>
              <w:instrText>NUMPAGES</w:instrText>
            </w:r>
            <w:r w:rsidR="005F5CBF">
              <w:rPr>
                <w:b/>
                <w:bCs/>
              </w:rPr>
              <w:fldChar w:fldCharType="separate"/>
            </w:r>
            <w:r w:rsidR="005F5CBF">
              <w:rPr>
                <w:b/>
                <w:bCs/>
                <w:noProof/>
              </w:rPr>
              <w:t>3</w:t>
            </w:r>
            <w:r w:rsidR="005F5CBF">
              <w:rPr>
                <w:b/>
                <w:bCs/>
              </w:rPr>
              <w:fldChar w:fldCharType="end"/>
            </w:r>
          </w:sdtContent>
        </w:sdt>
      </w:sdtContent>
    </w:sdt>
  </w:p>
  <w:p w14:paraId="341EC880" w14:textId="77777777" w:rsidR="005F5CBF" w:rsidRDefault="005F5C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45B8" w14:textId="6F76C768" w:rsidR="00AB6FD8" w:rsidRDefault="00AB6F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90B8" w14:textId="77777777" w:rsidR="00C860CC" w:rsidRDefault="00C860CC" w:rsidP="00B14349">
      <w:r>
        <w:separator/>
      </w:r>
    </w:p>
  </w:footnote>
  <w:footnote w:type="continuationSeparator" w:id="0">
    <w:p w14:paraId="30E6C61F" w14:textId="77777777" w:rsidR="00C860CC" w:rsidRDefault="00C860CC"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B2A0" w14:textId="7E3BCFC4" w:rsidR="00A14676" w:rsidRDefault="00A14676" w:rsidP="003B35BC">
    <w:pPr>
      <w:pStyle w:val="Koptekst"/>
      <w:jc w:val="right"/>
    </w:pPr>
    <w:bookmarkStart w:id="2" w:name="_Hlk84942733"/>
    <w:r w:rsidRPr="00A03E01">
      <w:rPr>
        <w:noProof/>
      </w:rPr>
      <w:drawing>
        <wp:anchor distT="0" distB="0" distL="114300" distR="114300" simplePos="0" relativeHeight="251664384" behindDoc="0" locked="0" layoutInCell="1" allowOverlap="1" wp14:anchorId="3ED12519" wp14:editId="112DB77A">
          <wp:simplePos x="0" y="0"/>
          <wp:positionH relativeFrom="column">
            <wp:posOffset>2463800</wp:posOffset>
          </wp:positionH>
          <wp:positionV relativeFrom="paragraph">
            <wp:posOffset>-451485</wp:posOffset>
          </wp:positionV>
          <wp:extent cx="2152650" cy="1339850"/>
          <wp:effectExtent l="0" t="0" r="0" b="0"/>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1339850"/>
                  </a:xfrm>
                  <a:prstGeom prst="rect">
                    <a:avLst/>
                  </a:prstGeom>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62336" behindDoc="1" locked="0" layoutInCell="1" allowOverlap="1" wp14:anchorId="7D33626E" wp14:editId="2BD76061">
          <wp:simplePos x="0" y="0"/>
          <wp:positionH relativeFrom="margin">
            <wp:posOffset>2032000</wp:posOffset>
          </wp:positionH>
          <wp:positionV relativeFrom="paragraph">
            <wp:posOffset>-747395</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F3524"/>
    <w:multiLevelType w:val="hybridMultilevel"/>
    <w:tmpl w:val="2968F7E6"/>
    <w:lvl w:ilvl="0" w:tplc="4936ECB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603A9"/>
    <w:multiLevelType w:val="hybridMultilevel"/>
    <w:tmpl w:val="9F0CF712"/>
    <w:lvl w:ilvl="0" w:tplc="1426373E">
      <w:start w:val="6"/>
      <w:numFmt w:val="bullet"/>
      <w:lvlText w:val="-"/>
      <w:lvlJc w:val="left"/>
      <w:pPr>
        <w:ind w:left="36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9C7181"/>
    <w:multiLevelType w:val="hybridMultilevel"/>
    <w:tmpl w:val="B7388494"/>
    <w:lvl w:ilvl="0" w:tplc="6E7869BC">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C46FB3"/>
    <w:multiLevelType w:val="hybridMultilevel"/>
    <w:tmpl w:val="1F56AE8C"/>
    <w:lvl w:ilvl="0" w:tplc="8A70522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BB3783"/>
    <w:multiLevelType w:val="multilevel"/>
    <w:tmpl w:val="B398668C"/>
    <w:numStyleLink w:val="Gemporteerdestijl1"/>
  </w:abstractNum>
  <w:abstractNum w:abstractNumId="10" w15:restartNumberingAfterBreak="0">
    <w:nsid w:val="2E604E2C"/>
    <w:multiLevelType w:val="hybridMultilevel"/>
    <w:tmpl w:val="5DFE3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431016"/>
    <w:multiLevelType w:val="hybridMultilevel"/>
    <w:tmpl w:val="3CACE864"/>
    <w:lvl w:ilvl="0" w:tplc="7AB0135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D83540"/>
    <w:multiLevelType w:val="hybridMultilevel"/>
    <w:tmpl w:val="A2E25214"/>
    <w:lvl w:ilvl="0" w:tplc="2FECCF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825296"/>
    <w:multiLevelType w:val="hybridMultilevel"/>
    <w:tmpl w:val="2B861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EFA1EBE"/>
    <w:multiLevelType w:val="hybridMultilevel"/>
    <w:tmpl w:val="206048F8"/>
    <w:numStyleLink w:val="Gemporteerdestijl2"/>
  </w:abstractNum>
  <w:abstractNum w:abstractNumId="19"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CD3783"/>
    <w:multiLevelType w:val="hybridMultilevel"/>
    <w:tmpl w:val="B22018D2"/>
    <w:lvl w:ilvl="0" w:tplc="F8A2F39A">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87115B"/>
    <w:multiLevelType w:val="hybridMultilevel"/>
    <w:tmpl w:val="1CAE9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912091">
    <w:abstractNumId w:val="6"/>
  </w:num>
  <w:num w:numId="2" w16cid:durableId="159581706">
    <w:abstractNumId w:val="9"/>
  </w:num>
  <w:num w:numId="3" w16cid:durableId="541787990">
    <w:abstractNumId w:val="13"/>
  </w:num>
  <w:num w:numId="4" w16cid:durableId="18557152">
    <w:abstractNumId w:val="18"/>
  </w:num>
  <w:num w:numId="5" w16cid:durableId="157229842">
    <w:abstractNumId w:val="9"/>
    <w:lvlOverride w:ilvl="0">
      <w:startOverride w:val="2"/>
    </w:lvlOverride>
  </w:num>
  <w:num w:numId="6" w16cid:durableId="617680866">
    <w:abstractNumId w:val="9"/>
    <w:lvlOverride w:ilvl="0">
      <w:startOverride w:val="3"/>
    </w:lvlOverride>
  </w:num>
  <w:num w:numId="7" w16cid:durableId="1251618448">
    <w:abstractNumId w:val="0"/>
  </w:num>
  <w:num w:numId="8" w16cid:durableId="635376786">
    <w:abstractNumId w:val="14"/>
  </w:num>
  <w:num w:numId="9" w16cid:durableId="1206452391">
    <w:abstractNumId w:val="5"/>
  </w:num>
  <w:num w:numId="10" w16cid:durableId="907495364">
    <w:abstractNumId w:val="21"/>
  </w:num>
  <w:num w:numId="11" w16cid:durableId="1648364998">
    <w:abstractNumId w:val="1"/>
  </w:num>
  <w:num w:numId="12" w16cid:durableId="1658460117">
    <w:abstractNumId w:val="17"/>
  </w:num>
  <w:num w:numId="13" w16cid:durableId="736980689">
    <w:abstractNumId w:val="19"/>
  </w:num>
  <w:num w:numId="14" w16cid:durableId="1148473031">
    <w:abstractNumId w:val="12"/>
  </w:num>
  <w:num w:numId="15" w16cid:durableId="1151603944">
    <w:abstractNumId w:val="3"/>
  </w:num>
  <w:num w:numId="16" w16cid:durableId="613831217">
    <w:abstractNumId w:val="7"/>
  </w:num>
  <w:num w:numId="17" w16cid:durableId="457379704">
    <w:abstractNumId w:val="16"/>
  </w:num>
  <w:num w:numId="18" w16cid:durableId="606618884">
    <w:abstractNumId w:val="20"/>
  </w:num>
  <w:num w:numId="19" w16cid:durableId="999233878">
    <w:abstractNumId w:val="8"/>
  </w:num>
  <w:num w:numId="20" w16cid:durableId="889071890">
    <w:abstractNumId w:val="2"/>
  </w:num>
  <w:num w:numId="21" w16cid:durableId="1324777211">
    <w:abstractNumId w:val="4"/>
  </w:num>
  <w:num w:numId="22" w16cid:durableId="1229608462">
    <w:abstractNumId w:val="15"/>
  </w:num>
  <w:num w:numId="23" w16cid:durableId="1458842003">
    <w:abstractNumId w:val="10"/>
  </w:num>
  <w:num w:numId="24" w16cid:durableId="1942951456">
    <w:abstractNumId w:val="11"/>
  </w:num>
  <w:num w:numId="25" w16cid:durableId="12135397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115AF"/>
    <w:rsid w:val="00011FCF"/>
    <w:rsid w:val="00015912"/>
    <w:rsid w:val="000266B4"/>
    <w:rsid w:val="000310CD"/>
    <w:rsid w:val="00035E5C"/>
    <w:rsid w:val="000448AD"/>
    <w:rsid w:val="0005564B"/>
    <w:rsid w:val="00072C5C"/>
    <w:rsid w:val="00073A64"/>
    <w:rsid w:val="00077237"/>
    <w:rsid w:val="00080310"/>
    <w:rsid w:val="00080878"/>
    <w:rsid w:val="000853A3"/>
    <w:rsid w:val="0008747B"/>
    <w:rsid w:val="00093C7B"/>
    <w:rsid w:val="00096F26"/>
    <w:rsid w:val="000A7931"/>
    <w:rsid w:val="000B05EE"/>
    <w:rsid w:val="000B2C67"/>
    <w:rsid w:val="000B679D"/>
    <w:rsid w:val="000C2008"/>
    <w:rsid w:val="000C6B21"/>
    <w:rsid w:val="000D2BC6"/>
    <w:rsid w:val="000E2225"/>
    <w:rsid w:val="000E3BF5"/>
    <w:rsid w:val="000F2DF5"/>
    <w:rsid w:val="00100C6B"/>
    <w:rsid w:val="00101DEF"/>
    <w:rsid w:val="00103299"/>
    <w:rsid w:val="0011657D"/>
    <w:rsid w:val="00123232"/>
    <w:rsid w:val="001304B2"/>
    <w:rsid w:val="001317A7"/>
    <w:rsid w:val="00136ABB"/>
    <w:rsid w:val="00144275"/>
    <w:rsid w:val="00146C6F"/>
    <w:rsid w:val="00164666"/>
    <w:rsid w:val="0017044E"/>
    <w:rsid w:val="0017091D"/>
    <w:rsid w:val="00174E60"/>
    <w:rsid w:val="00176A37"/>
    <w:rsid w:val="001801D2"/>
    <w:rsid w:val="001813E3"/>
    <w:rsid w:val="0018392A"/>
    <w:rsid w:val="00186CD9"/>
    <w:rsid w:val="001A109A"/>
    <w:rsid w:val="001A17A3"/>
    <w:rsid w:val="001A4E5E"/>
    <w:rsid w:val="001A7D23"/>
    <w:rsid w:val="001C136B"/>
    <w:rsid w:val="001E1B91"/>
    <w:rsid w:val="001E740B"/>
    <w:rsid w:val="001F4FBD"/>
    <w:rsid w:val="00204C4A"/>
    <w:rsid w:val="00213A6F"/>
    <w:rsid w:val="002233DD"/>
    <w:rsid w:val="00241900"/>
    <w:rsid w:val="0024340E"/>
    <w:rsid w:val="00243BC7"/>
    <w:rsid w:val="00245042"/>
    <w:rsid w:val="00263E7B"/>
    <w:rsid w:val="00267CA7"/>
    <w:rsid w:val="00277021"/>
    <w:rsid w:val="002812D1"/>
    <w:rsid w:val="00281FBF"/>
    <w:rsid w:val="002939B5"/>
    <w:rsid w:val="00295182"/>
    <w:rsid w:val="002A0EE6"/>
    <w:rsid w:val="002A3151"/>
    <w:rsid w:val="002A6732"/>
    <w:rsid w:val="002B48FA"/>
    <w:rsid w:val="002C0A98"/>
    <w:rsid w:val="002C2A4D"/>
    <w:rsid w:val="002C48BC"/>
    <w:rsid w:val="002D5282"/>
    <w:rsid w:val="002D695B"/>
    <w:rsid w:val="002D69CE"/>
    <w:rsid w:val="002E0165"/>
    <w:rsid w:val="002E04B0"/>
    <w:rsid w:val="002E2974"/>
    <w:rsid w:val="002E66D1"/>
    <w:rsid w:val="002F271D"/>
    <w:rsid w:val="003021EA"/>
    <w:rsid w:val="00305E27"/>
    <w:rsid w:val="00320AA3"/>
    <w:rsid w:val="0032409B"/>
    <w:rsid w:val="00324955"/>
    <w:rsid w:val="00326BBE"/>
    <w:rsid w:val="00345F5C"/>
    <w:rsid w:val="00347379"/>
    <w:rsid w:val="00364952"/>
    <w:rsid w:val="0038176D"/>
    <w:rsid w:val="00390774"/>
    <w:rsid w:val="0039409D"/>
    <w:rsid w:val="003A2793"/>
    <w:rsid w:val="003A4A7F"/>
    <w:rsid w:val="003A5E10"/>
    <w:rsid w:val="003B35BC"/>
    <w:rsid w:val="003C6312"/>
    <w:rsid w:val="003C6A27"/>
    <w:rsid w:val="003D727D"/>
    <w:rsid w:val="003E5743"/>
    <w:rsid w:val="003E5CD2"/>
    <w:rsid w:val="003E6D9E"/>
    <w:rsid w:val="003F070A"/>
    <w:rsid w:val="003F3722"/>
    <w:rsid w:val="0040332B"/>
    <w:rsid w:val="00424DF0"/>
    <w:rsid w:val="00424F37"/>
    <w:rsid w:val="00426777"/>
    <w:rsid w:val="00426DFA"/>
    <w:rsid w:val="00435159"/>
    <w:rsid w:val="00437F21"/>
    <w:rsid w:val="00444C34"/>
    <w:rsid w:val="0045756E"/>
    <w:rsid w:val="00462DE1"/>
    <w:rsid w:val="0046409F"/>
    <w:rsid w:val="00472598"/>
    <w:rsid w:val="00486C77"/>
    <w:rsid w:val="00487BC9"/>
    <w:rsid w:val="004940A3"/>
    <w:rsid w:val="004A1838"/>
    <w:rsid w:val="004A2DDC"/>
    <w:rsid w:val="004A577B"/>
    <w:rsid w:val="004A6D09"/>
    <w:rsid w:val="004B6F32"/>
    <w:rsid w:val="004D193E"/>
    <w:rsid w:val="004D67D9"/>
    <w:rsid w:val="004E2CB8"/>
    <w:rsid w:val="004E63CF"/>
    <w:rsid w:val="004F51FD"/>
    <w:rsid w:val="004F6600"/>
    <w:rsid w:val="00503F39"/>
    <w:rsid w:val="00515EEF"/>
    <w:rsid w:val="00516688"/>
    <w:rsid w:val="00523E89"/>
    <w:rsid w:val="0052424E"/>
    <w:rsid w:val="00525D7D"/>
    <w:rsid w:val="005261F0"/>
    <w:rsid w:val="00526C89"/>
    <w:rsid w:val="005431C9"/>
    <w:rsid w:val="0054543B"/>
    <w:rsid w:val="0055352C"/>
    <w:rsid w:val="00553886"/>
    <w:rsid w:val="005605AD"/>
    <w:rsid w:val="0056262D"/>
    <w:rsid w:val="00563FDD"/>
    <w:rsid w:val="005757C1"/>
    <w:rsid w:val="0058182D"/>
    <w:rsid w:val="005847BF"/>
    <w:rsid w:val="00585D2C"/>
    <w:rsid w:val="00591A18"/>
    <w:rsid w:val="005925CB"/>
    <w:rsid w:val="00597594"/>
    <w:rsid w:val="005A0A1A"/>
    <w:rsid w:val="005A6CAA"/>
    <w:rsid w:val="005A6D3F"/>
    <w:rsid w:val="005C4F36"/>
    <w:rsid w:val="005D3469"/>
    <w:rsid w:val="005F4380"/>
    <w:rsid w:val="005F5CBF"/>
    <w:rsid w:val="006135C0"/>
    <w:rsid w:val="00625443"/>
    <w:rsid w:val="0063633E"/>
    <w:rsid w:val="006367E5"/>
    <w:rsid w:val="006379DC"/>
    <w:rsid w:val="006509A6"/>
    <w:rsid w:val="006636C4"/>
    <w:rsid w:val="00666328"/>
    <w:rsid w:val="0069209C"/>
    <w:rsid w:val="006A18D6"/>
    <w:rsid w:val="006A1B80"/>
    <w:rsid w:val="006A3A25"/>
    <w:rsid w:val="006B3AAF"/>
    <w:rsid w:val="006B4662"/>
    <w:rsid w:val="006C062B"/>
    <w:rsid w:val="006C29D3"/>
    <w:rsid w:val="006C6844"/>
    <w:rsid w:val="006D34A2"/>
    <w:rsid w:val="006D4D88"/>
    <w:rsid w:val="006D612D"/>
    <w:rsid w:val="006E52E9"/>
    <w:rsid w:val="006F4C15"/>
    <w:rsid w:val="006F61B1"/>
    <w:rsid w:val="00706F07"/>
    <w:rsid w:val="00712EAD"/>
    <w:rsid w:val="007157F8"/>
    <w:rsid w:val="00715EAB"/>
    <w:rsid w:val="00716072"/>
    <w:rsid w:val="00732B53"/>
    <w:rsid w:val="0074187C"/>
    <w:rsid w:val="007425BD"/>
    <w:rsid w:val="00744AEF"/>
    <w:rsid w:val="00745A05"/>
    <w:rsid w:val="00746463"/>
    <w:rsid w:val="007540B8"/>
    <w:rsid w:val="007546FA"/>
    <w:rsid w:val="00767879"/>
    <w:rsid w:val="007724DA"/>
    <w:rsid w:val="00774BAA"/>
    <w:rsid w:val="007A35D7"/>
    <w:rsid w:val="007A4B90"/>
    <w:rsid w:val="007C09C2"/>
    <w:rsid w:val="007C2E75"/>
    <w:rsid w:val="007C618B"/>
    <w:rsid w:val="007C7F7E"/>
    <w:rsid w:val="007D55F7"/>
    <w:rsid w:val="007D7D19"/>
    <w:rsid w:val="007E79E6"/>
    <w:rsid w:val="008020D9"/>
    <w:rsid w:val="00802F10"/>
    <w:rsid w:val="0080582D"/>
    <w:rsid w:val="00806EE8"/>
    <w:rsid w:val="00810E58"/>
    <w:rsid w:val="00812A41"/>
    <w:rsid w:val="00813067"/>
    <w:rsid w:val="00814CBD"/>
    <w:rsid w:val="0082590D"/>
    <w:rsid w:val="00830949"/>
    <w:rsid w:val="008316C0"/>
    <w:rsid w:val="00835D55"/>
    <w:rsid w:val="00836C52"/>
    <w:rsid w:val="0085724B"/>
    <w:rsid w:val="008629EB"/>
    <w:rsid w:val="0086519E"/>
    <w:rsid w:val="00866231"/>
    <w:rsid w:val="008705A9"/>
    <w:rsid w:val="00880E03"/>
    <w:rsid w:val="008831B0"/>
    <w:rsid w:val="008840D4"/>
    <w:rsid w:val="0089158E"/>
    <w:rsid w:val="008A0286"/>
    <w:rsid w:val="008A260C"/>
    <w:rsid w:val="008A2C60"/>
    <w:rsid w:val="008C146B"/>
    <w:rsid w:val="008D151D"/>
    <w:rsid w:val="008D4D09"/>
    <w:rsid w:val="008D59F9"/>
    <w:rsid w:val="008E5C90"/>
    <w:rsid w:val="008F0D59"/>
    <w:rsid w:val="00904865"/>
    <w:rsid w:val="00904A5E"/>
    <w:rsid w:val="009111F1"/>
    <w:rsid w:val="009136E5"/>
    <w:rsid w:val="009166C3"/>
    <w:rsid w:val="0093353A"/>
    <w:rsid w:val="0093498D"/>
    <w:rsid w:val="00942045"/>
    <w:rsid w:val="00943EFC"/>
    <w:rsid w:val="009458ED"/>
    <w:rsid w:val="00947336"/>
    <w:rsid w:val="00963262"/>
    <w:rsid w:val="00965A25"/>
    <w:rsid w:val="00967580"/>
    <w:rsid w:val="009722DF"/>
    <w:rsid w:val="00985F47"/>
    <w:rsid w:val="00990D6F"/>
    <w:rsid w:val="009A52BC"/>
    <w:rsid w:val="009B2905"/>
    <w:rsid w:val="009C429E"/>
    <w:rsid w:val="009C5B55"/>
    <w:rsid w:val="009E2AAE"/>
    <w:rsid w:val="009E2DD1"/>
    <w:rsid w:val="009E3BE2"/>
    <w:rsid w:val="009F40CC"/>
    <w:rsid w:val="00A01519"/>
    <w:rsid w:val="00A027B7"/>
    <w:rsid w:val="00A05E03"/>
    <w:rsid w:val="00A07941"/>
    <w:rsid w:val="00A137D0"/>
    <w:rsid w:val="00A14676"/>
    <w:rsid w:val="00A20C16"/>
    <w:rsid w:val="00A21EE4"/>
    <w:rsid w:val="00A23E39"/>
    <w:rsid w:val="00A270A1"/>
    <w:rsid w:val="00A31D94"/>
    <w:rsid w:val="00A332A2"/>
    <w:rsid w:val="00A3618F"/>
    <w:rsid w:val="00A3755F"/>
    <w:rsid w:val="00A54DE5"/>
    <w:rsid w:val="00A55CF1"/>
    <w:rsid w:val="00A56844"/>
    <w:rsid w:val="00A60199"/>
    <w:rsid w:val="00A60B1A"/>
    <w:rsid w:val="00A655AC"/>
    <w:rsid w:val="00A81F8D"/>
    <w:rsid w:val="00A851B9"/>
    <w:rsid w:val="00AB6FD8"/>
    <w:rsid w:val="00AC01FF"/>
    <w:rsid w:val="00AC0DCD"/>
    <w:rsid w:val="00AC6B63"/>
    <w:rsid w:val="00AD0387"/>
    <w:rsid w:val="00AE679B"/>
    <w:rsid w:val="00AF4395"/>
    <w:rsid w:val="00AF780D"/>
    <w:rsid w:val="00B10BBD"/>
    <w:rsid w:val="00B11EA1"/>
    <w:rsid w:val="00B14349"/>
    <w:rsid w:val="00B162DE"/>
    <w:rsid w:val="00B22658"/>
    <w:rsid w:val="00B25219"/>
    <w:rsid w:val="00B25DE6"/>
    <w:rsid w:val="00B25EBB"/>
    <w:rsid w:val="00B27E54"/>
    <w:rsid w:val="00B34131"/>
    <w:rsid w:val="00B4398E"/>
    <w:rsid w:val="00B462D9"/>
    <w:rsid w:val="00B556C3"/>
    <w:rsid w:val="00B56803"/>
    <w:rsid w:val="00B57941"/>
    <w:rsid w:val="00B6420B"/>
    <w:rsid w:val="00B64643"/>
    <w:rsid w:val="00B6782C"/>
    <w:rsid w:val="00B72B8D"/>
    <w:rsid w:val="00B75F18"/>
    <w:rsid w:val="00B8179C"/>
    <w:rsid w:val="00BA2D58"/>
    <w:rsid w:val="00BA4CE3"/>
    <w:rsid w:val="00BB74F4"/>
    <w:rsid w:val="00BC156E"/>
    <w:rsid w:val="00BC6245"/>
    <w:rsid w:val="00BD0BA2"/>
    <w:rsid w:val="00BE64DD"/>
    <w:rsid w:val="00BF14CC"/>
    <w:rsid w:val="00C0100F"/>
    <w:rsid w:val="00C02895"/>
    <w:rsid w:val="00C1744B"/>
    <w:rsid w:val="00C40746"/>
    <w:rsid w:val="00C42274"/>
    <w:rsid w:val="00C432CD"/>
    <w:rsid w:val="00C64A77"/>
    <w:rsid w:val="00C74E97"/>
    <w:rsid w:val="00C860CC"/>
    <w:rsid w:val="00C90557"/>
    <w:rsid w:val="00CA6CEF"/>
    <w:rsid w:val="00CB7798"/>
    <w:rsid w:val="00CC2B6F"/>
    <w:rsid w:val="00CC60B0"/>
    <w:rsid w:val="00CC6BB8"/>
    <w:rsid w:val="00CD1DEE"/>
    <w:rsid w:val="00CD5E25"/>
    <w:rsid w:val="00CD7078"/>
    <w:rsid w:val="00CE26C0"/>
    <w:rsid w:val="00CF3A96"/>
    <w:rsid w:val="00CF4560"/>
    <w:rsid w:val="00CF45A1"/>
    <w:rsid w:val="00D00197"/>
    <w:rsid w:val="00D03AB0"/>
    <w:rsid w:val="00D131BA"/>
    <w:rsid w:val="00D149B8"/>
    <w:rsid w:val="00D14E8B"/>
    <w:rsid w:val="00D15199"/>
    <w:rsid w:val="00D1661F"/>
    <w:rsid w:val="00D539D3"/>
    <w:rsid w:val="00D54D7A"/>
    <w:rsid w:val="00D5568F"/>
    <w:rsid w:val="00D55DB7"/>
    <w:rsid w:val="00D70FF1"/>
    <w:rsid w:val="00D86673"/>
    <w:rsid w:val="00D87922"/>
    <w:rsid w:val="00D90E32"/>
    <w:rsid w:val="00DA7535"/>
    <w:rsid w:val="00DC444A"/>
    <w:rsid w:val="00DD05D9"/>
    <w:rsid w:val="00DD1196"/>
    <w:rsid w:val="00DD7069"/>
    <w:rsid w:val="00DE6997"/>
    <w:rsid w:val="00DE6AAD"/>
    <w:rsid w:val="00DF06F9"/>
    <w:rsid w:val="00DF59E6"/>
    <w:rsid w:val="00E02805"/>
    <w:rsid w:val="00E10F55"/>
    <w:rsid w:val="00E1223B"/>
    <w:rsid w:val="00E1749C"/>
    <w:rsid w:val="00E25159"/>
    <w:rsid w:val="00E26302"/>
    <w:rsid w:val="00E27A35"/>
    <w:rsid w:val="00E3134C"/>
    <w:rsid w:val="00E32A4F"/>
    <w:rsid w:val="00E34294"/>
    <w:rsid w:val="00E3791C"/>
    <w:rsid w:val="00E46538"/>
    <w:rsid w:val="00E65F1A"/>
    <w:rsid w:val="00E67C61"/>
    <w:rsid w:val="00E94BD3"/>
    <w:rsid w:val="00EA3781"/>
    <w:rsid w:val="00EA5541"/>
    <w:rsid w:val="00EA6A34"/>
    <w:rsid w:val="00EB0836"/>
    <w:rsid w:val="00EB2D4B"/>
    <w:rsid w:val="00EB65FA"/>
    <w:rsid w:val="00EB6C8E"/>
    <w:rsid w:val="00EB7910"/>
    <w:rsid w:val="00EC504A"/>
    <w:rsid w:val="00ED3F85"/>
    <w:rsid w:val="00ED53D3"/>
    <w:rsid w:val="00EE4B5E"/>
    <w:rsid w:val="00EF1486"/>
    <w:rsid w:val="00EF4B7D"/>
    <w:rsid w:val="00F01F09"/>
    <w:rsid w:val="00F06427"/>
    <w:rsid w:val="00F15BA3"/>
    <w:rsid w:val="00F163FB"/>
    <w:rsid w:val="00F168F6"/>
    <w:rsid w:val="00F2069B"/>
    <w:rsid w:val="00F3255D"/>
    <w:rsid w:val="00F32C1B"/>
    <w:rsid w:val="00F33250"/>
    <w:rsid w:val="00F33EE6"/>
    <w:rsid w:val="00F57E61"/>
    <w:rsid w:val="00F854F4"/>
    <w:rsid w:val="00F85D15"/>
    <w:rsid w:val="00F95FA9"/>
    <w:rsid w:val="00FB2183"/>
    <w:rsid w:val="00FB253C"/>
    <w:rsid w:val="00FC0CE7"/>
    <w:rsid w:val="00FC571F"/>
    <w:rsid w:val="00FC71A7"/>
    <w:rsid w:val="00FD0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paragraph" w:styleId="Kop2">
    <w:name w:val="heading 2"/>
    <w:basedOn w:val="Standaard"/>
    <w:next w:val="Standaard"/>
    <w:link w:val="Kop2Char"/>
    <w:uiPriority w:val="9"/>
    <w:unhideWhenUsed/>
    <w:qFormat/>
    <w:rsid w:val="00424D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24DF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uiPriority w:val="99"/>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table" w:styleId="Tabelraster">
    <w:name w:val="Table Grid"/>
    <w:basedOn w:val="Standaardtabel"/>
    <w:uiPriority w:val="39"/>
    <w:rsid w:val="0056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424DF0"/>
    <w:rPr>
      <w:rFonts w:asciiTheme="majorHAnsi" w:eastAsiaTheme="majorEastAsia" w:hAnsiTheme="majorHAnsi" w:cstheme="majorBidi"/>
      <w:color w:val="1F3763" w:themeColor="accent1" w:themeShade="7F"/>
      <w:sz w:val="24"/>
      <w:szCs w:val="24"/>
      <w:u w:color="000000"/>
      <w:bdr w:val="nil"/>
      <w:lang w:eastAsia="nl-NL"/>
      <w14:textOutline w14:w="0" w14:cap="flat" w14:cmpd="sng" w14:algn="ctr">
        <w14:noFill/>
        <w14:prstDash w14:val="solid"/>
        <w14:bevel/>
      </w14:textOutline>
    </w:rPr>
  </w:style>
  <w:style w:type="character" w:customStyle="1" w:styleId="Kop2Char">
    <w:name w:val="Kop 2 Char"/>
    <w:basedOn w:val="Standaardalinea-lettertype"/>
    <w:link w:val="Kop2"/>
    <w:uiPriority w:val="9"/>
    <w:rsid w:val="00424DF0"/>
    <w:rPr>
      <w:rFonts w:asciiTheme="majorHAnsi" w:eastAsiaTheme="majorEastAsia" w:hAnsiTheme="majorHAnsi" w:cstheme="majorBidi"/>
      <w:color w:val="2F5496" w:themeColor="accent1" w:themeShade="BF"/>
      <w:sz w:val="26"/>
      <w:szCs w:val="26"/>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D3B85AFB-F274-4534-91C9-620EA2B89B15}">
  <ds:schemaRefs>
    <ds:schemaRef ds:uri="http://schemas.openxmlformats.org/officeDocument/2006/bibliography"/>
  </ds:schemaRefs>
</ds:datastoreItem>
</file>

<file path=customXml/itemProps3.xml><?xml version="1.0" encoding="utf-8"?>
<ds:datastoreItem xmlns:ds="http://schemas.openxmlformats.org/officeDocument/2006/customXml" ds:itemID="{AEE8739F-517A-4897-8C45-AF0014C3C7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1266</Words>
  <Characters>6968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Accountantsprotocol en model rapport (IKC-ETS)</vt: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Accountantsprotocol en model rapport (IKC-ETS)</dc:title>
  <dc:subject/>
  <dc:creator>Rijksdienst voor Ondernemend Nederland</dc:creator>
  <cp:keywords>subsdie, ikc-ets</cp:keywords>
  <dc:description/>
  <cp:lastModifiedBy>Lalbahadoersing, ir. drs. V. PDEng (Vinay)</cp:lastModifiedBy>
  <cp:revision>5</cp:revision>
  <dcterms:created xsi:type="dcterms:W3CDTF">2025-06-19T07:38:00Z</dcterms:created>
  <dcterms:modified xsi:type="dcterms:W3CDTF">2025-07-14T07:05:00Z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